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7834A" w14:textId="522DEA08" w:rsidR="006F379D" w:rsidRPr="002A098F" w:rsidRDefault="006F379D" w:rsidP="007D32F2">
      <w:pPr>
        <w:spacing w:after="0" w:line="240" w:lineRule="auto"/>
        <w:jc w:val="center"/>
        <w:rPr>
          <w:rFonts w:eastAsia="Calibri" w:cs="Times New Roman"/>
          <w:b/>
          <w:color w:val="000000" w:themeColor="text1"/>
          <w:sz w:val="26"/>
          <w:szCs w:val="26"/>
        </w:rPr>
      </w:pPr>
      <w:r w:rsidRPr="002A098F">
        <w:rPr>
          <w:rFonts w:eastAsia="Calibri" w:cs="Times New Roman"/>
          <w:b/>
          <w:color w:val="000000" w:themeColor="text1"/>
          <w:sz w:val="26"/>
          <w:szCs w:val="26"/>
        </w:rPr>
        <w:t>Phụ lục</w:t>
      </w:r>
    </w:p>
    <w:p w14:paraId="30A8749C" w14:textId="77777777" w:rsidR="002A098F" w:rsidRDefault="002A098F" w:rsidP="007D32F2">
      <w:pPr>
        <w:spacing w:after="0" w:line="240" w:lineRule="auto"/>
        <w:jc w:val="center"/>
        <w:rPr>
          <w:rFonts w:eastAsia="Calibri" w:cs="Times New Roman"/>
          <w:b/>
          <w:color w:val="000000" w:themeColor="text1"/>
          <w:sz w:val="26"/>
          <w:szCs w:val="26"/>
        </w:rPr>
      </w:pPr>
      <w:r w:rsidRPr="002A098F">
        <w:rPr>
          <w:rFonts w:eastAsia="Calibri" w:cs="Times New Roman"/>
          <w:b/>
          <w:color w:val="000000" w:themeColor="text1"/>
          <w:sz w:val="26"/>
          <w:szCs w:val="26"/>
        </w:rPr>
        <w:t xml:space="preserve">DANH MỤC THỦ TỤC HÀNH CHÍNH MỚI BAN HÀNH LĨNH VỰC </w:t>
      </w:r>
    </w:p>
    <w:p w14:paraId="4F7D1274" w14:textId="7C2AB582" w:rsidR="002A098F" w:rsidRPr="002A098F" w:rsidRDefault="002A098F" w:rsidP="007D32F2">
      <w:pPr>
        <w:spacing w:after="0" w:line="240" w:lineRule="auto"/>
        <w:jc w:val="center"/>
        <w:rPr>
          <w:rFonts w:eastAsia="Calibri" w:cs="Times New Roman"/>
          <w:b/>
          <w:color w:val="000000" w:themeColor="text1"/>
          <w:sz w:val="26"/>
          <w:szCs w:val="26"/>
        </w:rPr>
      </w:pPr>
      <w:r w:rsidRPr="002A098F">
        <w:rPr>
          <w:rFonts w:eastAsia="Calibri" w:cs="Times New Roman"/>
          <w:b/>
          <w:color w:val="000000" w:themeColor="text1"/>
          <w:sz w:val="26"/>
          <w:szCs w:val="26"/>
        </w:rPr>
        <w:t>BẢO HIỂM Y TẾ THUỘC PHẨM QUYỀN QUẢN LÝ CỦA SỞ Y TẾ TỈNH LẠNG SƠN</w:t>
      </w:r>
    </w:p>
    <w:p w14:paraId="02DA1351" w14:textId="6C258A91" w:rsidR="006F379D" w:rsidRPr="00E6145F" w:rsidRDefault="007D32F2" w:rsidP="006F379D">
      <w:pPr>
        <w:spacing w:before="120" w:after="120" w:line="240" w:lineRule="auto"/>
        <w:jc w:val="center"/>
        <w:rPr>
          <w:rFonts w:eastAsia="Calibri" w:cs="Times New Roman"/>
          <w:i/>
          <w:color w:val="000000" w:themeColor="text1"/>
          <w:sz w:val="26"/>
          <w:szCs w:val="26"/>
        </w:rPr>
      </w:pPr>
      <w:r w:rsidRPr="00E6145F">
        <w:rPr>
          <w:rFonts w:eastAsia="Calibri" w:cs="Times New Roman"/>
          <w:i/>
          <w:noProof/>
          <w:color w:val="000000" w:themeColor="text1"/>
          <w:sz w:val="26"/>
          <w:szCs w:val="26"/>
        </w:rPr>
        <mc:AlternateContent>
          <mc:Choice Requires="wps">
            <w:drawing>
              <wp:anchor distT="0" distB="0" distL="114300" distR="114300" simplePos="0" relativeHeight="251659264" behindDoc="0" locked="0" layoutInCell="1" allowOverlap="1" wp14:anchorId="3DE9A425" wp14:editId="5FB44843">
                <wp:simplePos x="0" y="0"/>
                <wp:positionH relativeFrom="column">
                  <wp:posOffset>3759835</wp:posOffset>
                </wp:positionH>
                <wp:positionV relativeFrom="paragraph">
                  <wp:posOffset>278130</wp:posOffset>
                </wp:positionV>
                <wp:extent cx="1866900" cy="0"/>
                <wp:effectExtent l="6985" t="12065" r="12065" b="6985"/>
                <wp:wrapNone/>
                <wp:docPr id="174496677"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62B161"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6.05pt,21.9pt" to="443.0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h9/rwEAAEgDAAAOAAAAZHJzL2Uyb0RvYy54bWysU8Fu2zAMvQ/YPwi6L3YCNGiNOD2k7S7d&#10;FqDdBzCSHAuVRYFUYufvJ6lJVmy3YT4Ikkg+vfdIr+6nwYmjIbboWzmf1VIYr1Bbv2/lz9enL7dS&#10;cASvwaE3rTwZlvfrz59WY2jMAnt02pBIIJ6bMbSyjzE0VcWqNwPwDIPxKdghDRDTkfaVJhgT+uCq&#10;RV0vqxFJB0JlmNPtw3tQrgt+1xkVf3QdmyhcKxO3WFYq6y6v1XoFzZ4g9FadacA/sBjA+vToFeoB&#10;IogD2b+gBqsIGbs4UzhU2HVWmaIhqZnXf6h56SGYoiWZw+FqE/8/WPX9uPFbytTV5F/CM6o3Fh43&#10;Pfi9KQReTyE1bp6tqsbAzbUkHzhsSezGb6hTDhwiFhemjoYMmfSJqZh9upptpihUupzfLpd3deqJ&#10;usQqaC6FgTh+NTiIvGmlsz77AA0cnzlmItBcUvK1xyfrXOml82Js5d3N4qYUMDqrczCnMe13G0fi&#10;CHkayldUpcjHNMKD1wWsN6Afz/sI1r3v0+POn83I+vOwcbNDfdrSxaTUrsLyPFp5Hj6eS/XvH2D9&#10;CwAA//8DAFBLAwQUAAYACAAAACEAjdVljNwAAAAJAQAADwAAAGRycy9kb3ducmV2LnhtbEyPTU/D&#10;MAyG70j8h8hIXCaWroOplKYTAnrjwgBx9RrTVjRO12Rb4ddjxAGOfv3o/SjWk+vVgcbQeTawmCeg&#10;iGtvO24MvDxXFxmoEJEt9p7JwCcFWJenJwXm1h/5iQ6b2Cgx4ZCjgTbGIdc61C05DHM/EMvv3Y8O&#10;o5xjo+2IRzF3vU6TZKUddiwJLQ5011L9sdk7A6F6pV31Natnyduy8ZTu7h8f0Jjzs+n2BlSkKf7B&#10;8FNfqkMpnbZ+zzao3sDVdboQ1MDlUiYIkGUrEba/gi4L/X9B+Q0AAP//AwBQSwECLQAUAAYACAAA&#10;ACEAtoM4kv4AAADhAQAAEwAAAAAAAAAAAAAAAAAAAAAAW0NvbnRlbnRfVHlwZXNdLnhtbFBLAQIt&#10;ABQABgAIAAAAIQA4/SH/1gAAAJQBAAALAAAAAAAAAAAAAAAAAC8BAABfcmVscy8ucmVsc1BLAQIt&#10;ABQABgAIAAAAIQDkFh9/rwEAAEgDAAAOAAAAAAAAAAAAAAAAAC4CAABkcnMvZTJvRG9jLnhtbFBL&#10;AQItABQABgAIAAAAIQCN1WWM3AAAAAkBAAAPAAAAAAAAAAAAAAAAAAkEAABkcnMvZG93bnJldi54&#10;bWxQSwUGAAAAAAQABADzAAAAEgUAAAAA&#10;"/>
            </w:pict>
          </mc:Fallback>
        </mc:AlternateContent>
      </w:r>
      <w:r w:rsidR="006F379D" w:rsidRPr="00E6145F">
        <w:rPr>
          <w:rFonts w:eastAsia="Calibri" w:cs="Times New Roman"/>
          <w:i/>
          <w:color w:val="000000" w:themeColor="text1"/>
          <w:sz w:val="26"/>
          <w:szCs w:val="26"/>
        </w:rPr>
        <w:t>(Kèm theo Quyết định số</w:t>
      </w:r>
      <w:r w:rsidR="00C2155F">
        <w:rPr>
          <w:rFonts w:eastAsia="Calibri" w:cs="Times New Roman"/>
          <w:i/>
          <w:color w:val="000000" w:themeColor="text1"/>
          <w:sz w:val="26"/>
          <w:szCs w:val="26"/>
        </w:rPr>
        <w:t>:</w:t>
      </w:r>
      <w:r w:rsidR="000A5D36">
        <w:rPr>
          <w:rFonts w:eastAsia="Calibri" w:cs="Times New Roman"/>
          <w:i/>
          <w:color w:val="000000" w:themeColor="text1"/>
          <w:sz w:val="26"/>
          <w:szCs w:val="26"/>
        </w:rPr>
        <w:t>2481</w:t>
      </w:r>
      <w:r w:rsidR="00C2155F">
        <w:rPr>
          <w:rFonts w:eastAsia="Calibri" w:cs="Times New Roman"/>
          <w:i/>
          <w:color w:val="000000" w:themeColor="text1"/>
          <w:sz w:val="26"/>
          <w:szCs w:val="26"/>
        </w:rPr>
        <w:t xml:space="preserve"> </w:t>
      </w:r>
      <w:r w:rsidR="00553087">
        <w:rPr>
          <w:rFonts w:eastAsia="Calibri" w:cs="Times New Roman"/>
          <w:i/>
          <w:color w:val="000000" w:themeColor="text1"/>
          <w:sz w:val="26"/>
          <w:szCs w:val="26"/>
        </w:rPr>
        <w:t xml:space="preserve">/QĐ-UBND ngày </w:t>
      </w:r>
      <w:r w:rsidR="000A5D36">
        <w:rPr>
          <w:rFonts w:eastAsia="Calibri" w:cs="Times New Roman"/>
          <w:i/>
          <w:color w:val="000000" w:themeColor="text1"/>
          <w:sz w:val="26"/>
          <w:szCs w:val="26"/>
        </w:rPr>
        <w:t>18</w:t>
      </w:r>
      <w:r w:rsidR="00C2155F">
        <w:rPr>
          <w:rFonts w:eastAsia="Calibri" w:cs="Times New Roman"/>
          <w:i/>
          <w:color w:val="000000" w:themeColor="text1"/>
          <w:sz w:val="26"/>
          <w:szCs w:val="26"/>
        </w:rPr>
        <w:t xml:space="preserve"> </w:t>
      </w:r>
      <w:r w:rsidR="00425340" w:rsidRPr="00E6145F">
        <w:rPr>
          <w:rFonts w:eastAsia="Calibri" w:cs="Times New Roman"/>
          <w:i/>
          <w:color w:val="000000" w:themeColor="text1"/>
          <w:sz w:val="26"/>
          <w:szCs w:val="26"/>
        </w:rPr>
        <w:t>tháng 1</w:t>
      </w:r>
      <w:r w:rsidR="007D1345" w:rsidRPr="00E6145F">
        <w:rPr>
          <w:rFonts w:eastAsia="Calibri" w:cs="Times New Roman"/>
          <w:i/>
          <w:color w:val="000000" w:themeColor="text1"/>
          <w:sz w:val="26"/>
          <w:szCs w:val="26"/>
        </w:rPr>
        <w:t>1</w:t>
      </w:r>
      <w:r w:rsidR="006F379D" w:rsidRPr="00E6145F">
        <w:rPr>
          <w:rFonts w:eastAsia="Calibri" w:cs="Times New Roman"/>
          <w:i/>
          <w:color w:val="000000" w:themeColor="text1"/>
          <w:sz w:val="26"/>
          <w:szCs w:val="26"/>
        </w:rPr>
        <w:t xml:space="preserve"> năm 2025 của Chủ tịch Ủy ban nhân dân tỉnh Lạng Sơn)</w:t>
      </w:r>
    </w:p>
    <w:p w14:paraId="0323CB8B" w14:textId="13D1FA81" w:rsidR="006F379D" w:rsidRPr="005244DD" w:rsidRDefault="006F379D" w:rsidP="006F379D">
      <w:pPr>
        <w:spacing w:before="120" w:after="120" w:line="240" w:lineRule="auto"/>
        <w:jc w:val="center"/>
        <w:rPr>
          <w:rFonts w:eastAsia="Calibri" w:cs="Times New Roman"/>
          <w:i/>
          <w:color w:val="000000" w:themeColor="text1"/>
          <w:sz w:val="16"/>
          <w:szCs w:val="26"/>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410"/>
        <w:gridCol w:w="3119"/>
        <w:gridCol w:w="821"/>
        <w:gridCol w:w="1163"/>
        <w:gridCol w:w="1247"/>
        <w:gridCol w:w="2155"/>
        <w:gridCol w:w="1134"/>
        <w:gridCol w:w="2693"/>
      </w:tblGrid>
      <w:tr w:rsidR="00E6145F" w:rsidRPr="00E6145F" w14:paraId="5FD472FF" w14:textId="77777777" w:rsidTr="007C6835">
        <w:trPr>
          <w:trHeight w:val="704"/>
        </w:trPr>
        <w:tc>
          <w:tcPr>
            <w:tcW w:w="562" w:type="dxa"/>
            <w:vAlign w:val="center"/>
          </w:tcPr>
          <w:p w14:paraId="48809158" w14:textId="35CA8832" w:rsidR="006F379D" w:rsidRPr="00C2155F" w:rsidRDefault="00C2155F" w:rsidP="00E53B95">
            <w:pPr>
              <w:spacing w:after="0" w:line="240" w:lineRule="auto"/>
              <w:jc w:val="center"/>
              <w:rPr>
                <w:rFonts w:eastAsia="Calibri" w:cs="Times New Roman"/>
                <w:b/>
                <w:color w:val="000000" w:themeColor="text1"/>
                <w:sz w:val="24"/>
                <w:szCs w:val="26"/>
              </w:rPr>
            </w:pPr>
            <w:r w:rsidRPr="00C2155F">
              <w:rPr>
                <w:rFonts w:eastAsia="Calibri" w:cs="Times New Roman"/>
                <w:b/>
                <w:color w:val="000000" w:themeColor="text1"/>
                <w:sz w:val="24"/>
                <w:szCs w:val="26"/>
              </w:rPr>
              <w:t xml:space="preserve">Số </w:t>
            </w:r>
            <w:r w:rsidR="006F379D" w:rsidRPr="00C2155F">
              <w:rPr>
                <w:rFonts w:eastAsia="Calibri" w:cs="Times New Roman"/>
                <w:b/>
                <w:color w:val="000000" w:themeColor="text1"/>
                <w:sz w:val="24"/>
                <w:szCs w:val="26"/>
              </w:rPr>
              <w:t>TT</w:t>
            </w:r>
          </w:p>
        </w:tc>
        <w:tc>
          <w:tcPr>
            <w:tcW w:w="2410" w:type="dxa"/>
            <w:vAlign w:val="center"/>
          </w:tcPr>
          <w:p w14:paraId="0754B854" w14:textId="77777777" w:rsidR="006F379D" w:rsidRPr="00C2155F" w:rsidRDefault="006F379D" w:rsidP="00E53B95">
            <w:pPr>
              <w:spacing w:after="0" w:line="240" w:lineRule="auto"/>
              <w:jc w:val="center"/>
              <w:rPr>
                <w:rFonts w:eastAsia="Calibri" w:cs="Times New Roman"/>
                <w:b/>
                <w:color w:val="000000" w:themeColor="text1"/>
                <w:sz w:val="24"/>
                <w:szCs w:val="26"/>
              </w:rPr>
            </w:pPr>
            <w:r w:rsidRPr="00C2155F">
              <w:rPr>
                <w:rFonts w:eastAsia="Calibri" w:cs="Times New Roman"/>
                <w:b/>
                <w:color w:val="000000" w:themeColor="text1"/>
                <w:sz w:val="24"/>
                <w:szCs w:val="26"/>
              </w:rPr>
              <w:t>Tên TTHC</w:t>
            </w:r>
          </w:p>
        </w:tc>
        <w:tc>
          <w:tcPr>
            <w:tcW w:w="3119" w:type="dxa"/>
            <w:vAlign w:val="center"/>
          </w:tcPr>
          <w:p w14:paraId="58302A3B" w14:textId="77777777" w:rsidR="006F379D" w:rsidRPr="00C2155F" w:rsidRDefault="006F379D" w:rsidP="00E53B95">
            <w:pPr>
              <w:spacing w:after="0" w:line="240" w:lineRule="auto"/>
              <w:jc w:val="center"/>
              <w:rPr>
                <w:rFonts w:eastAsia="Calibri" w:cs="Times New Roman"/>
                <w:b/>
                <w:color w:val="000000" w:themeColor="text1"/>
                <w:sz w:val="24"/>
                <w:szCs w:val="26"/>
              </w:rPr>
            </w:pPr>
            <w:r w:rsidRPr="00C2155F">
              <w:rPr>
                <w:rFonts w:eastAsia="Calibri" w:cs="Times New Roman"/>
                <w:b/>
                <w:color w:val="000000" w:themeColor="text1"/>
                <w:sz w:val="24"/>
                <w:szCs w:val="26"/>
              </w:rPr>
              <w:t>Thời hạn</w:t>
            </w:r>
          </w:p>
          <w:p w14:paraId="4AD110B8" w14:textId="77777777" w:rsidR="006F379D" w:rsidRPr="00C2155F" w:rsidRDefault="006F379D" w:rsidP="00E53B95">
            <w:pPr>
              <w:spacing w:after="0" w:line="240" w:lineRule="auto"/>
              <w:jc w:val="center"/>
              <w:rPr>
                <w:rFonts w:eastAsia="Calibri" w:cs="Times New Roman"/>
                <w:b/>
                <w:color w:val="000000" w:themeColor="text1"/>
                <w:sz w:val="24"/>
                <w:szCs w:val="26"/>
              </w:rPr>
            </w:pPr>
            <w:r w:rsidRPr="00C2155F">
              <w:rPr>
                <w:rFonts w:eastAsia="Calibri" w:cs="Times New Roman"/>
                <w:b/>
                <w:color w:val="000000" w:themeColor="text1"/>
                <w:sz w:val="24"/>
                <w:szCs w:val="26"/>
              </w:rPr>
              <w:t>giải quyết</w:t>
            </w:r>
          </w:p>
        </w:tc>
        <w:tc>
          <w:tcPr>
            <w:tcW w:w="1984" w:type="dxa"/>
            <w:gridSpan w:val="2"/>
            <w:vAlign w:val="center"/>
          </w:tcPr>
          <w:p w14:paraId="517B4347" w14:textId="77777777" w:rsidR="006F379D" w:rsidRPr="00C2155F" w:rsidRDefault="006F379D" w:rsidP="00E53B95">
            <w:pPr>
              <w:spacing w:after="0" w:line="240" w:lineRule="auto"/>
              <w:jc w:val="center"/>
              <w:rPr>
                <w:rFonts w:eastAsia="Calibri" w:cs="Times New Roman"/>
                <w:b/>
                <w:color w:val="000000" w:themeColor="text1"/>
                <w:sz w:val="24"/>
                <w:szCs w:val="26"/>
              </w:rPr>
            </w:pPr>
            <w:r w:rsidRPr="00C2155F">
              <w:rPr>
                <w:rFonts w:eastAsia="Calibri" w:cs="Times New Roman"/>
                <w:b/>
                <w:color w:val="000000" w:themeColor="text1"/>
                <w:sz w:val="24"/>
                <w:szCs w:val="26"/>
              </w:rPr>
              <w:t>Địa điểm</w:t>
            </w:r>
          </w:p>
          <w:p w14:paraId="00D0CBDF" w14:textId="77777777" w:rsidR="006F379D" w:rsidRPr="00C2155F" w:rsidRDefault="006F379D" w:rsidP="00E53B95">
            <w:pPr>
              <w:spacing w:after="0" w:line="240" w:lineRule="auto"/>
              <w:jc w:val="center"/>
              <w:rPr>
                <w:rFonts w:eastAsia="Calibri" w:cs="Times New Roman"/>
                <w:b/>
                <w:color w:val="000000" w:themeColor="text1"/>
                <w:sz w:val="24"/>
                <w:szCs w:val="26"/>
              </w:rPr>
            </w:pPr>
            <w:r w:rsidRPr="00C2155F">
              <w:rPr>
                <w:rFonts w:eastAsia="Calibri" w:cs="Times New Roman"/>
                <w:b/>
                <w:color w:val="000000" w:themeColor="text1"/>
                <w:sz w:val="24"/>
                <w:szCs w:val="26"/>
              </w:rPr>
              <w:t>thực hiện</w:t>
            </w:r>
          </w:p>
        </w:tc>
        <w:tc>
          <w:tcPr>
            <w:tcW w:w="3402" w:type="dxa"/>
            <w:gridSpan w:val="2"/>
            <w:vAlign w:val="center"/>
          </w:tcPr>
          <w:p w14:paraId="6529CBA7" w14:textId="77777777" w:rsidR="006F379D" w:rsidRPr="00C2155F" w:rsidRDefault="006F379D" w:rsidP="00E53B95">
            <w:pPr>
              <w:spacing w:after="0" w:line="240" w:lineRule="auto"/>
              <w:jc w:val="center"/>
              <w:rPr>
                <w:rFonts w:eastAsia="Calibri" w:cs="Times New Roman"/>
                <w:b/>
                <w:color w:val="000000" w:themeColor="text1"/>
                <w:sz w:val="24"/>
                <w:szCs w:val="26"/>
              </w:rPr>
            </w:pPr>
            <w:r w:rsidRPr="00C2155F">
              <w:rPr>
                <w:rFonts w:eastAsia="Calibri" w:cs="Times New Roman"/>
                <w:b/>
                <w:color w:val="000000" w:themeColor="text1"/>
                <w:sz w:val="24"/>
                <w:szCs w:val="26"/>
              </w:rPr>
              <w:t>Cách thức thực hiện</w:t>
            </w:r>
          </w:p>
        </w:tc>
        <w:tc>
          <w:tcPr>
            <w:tcW w:w="1134" w:type="dxa"/>
            <w:vAlign w:val="center"/>
          </w:tcPr>
          <w:p w14:paraId="0F76B4DE" w14:textId="77777777" w:rsidR="006F379D" w:rsidRPr="00C2155F" w:rsidRDefault="006F379D" w:rsidP="00E53B95">
            <w:pPr>
              <w:spacing w:after="0" w:line="240" w:lineRule="auto"/>
              <w:jc w:val="center"/>
              <w:rPr>
                <w:rFonts w:eastAsia="Calibri" w:cs="Times New Roman"/>
                <w:b/>
                <w:color w:val="000000" w:themeColor="text1"/>
                <w:sz w:val="24"/>
                <w:szCs w:val="26"/>
              </w:rPr>
            </w:pPr>
            <w:r w:rsidRPr="00C2155F">
              <w:rPr>
                <w:rFonts w:eastAsia="Calibri" w:cs="Times New Roman"/>
                <w:b/>
                <w:color w:val="000000" w:themeColor="text1"/>
                <w:sz w:val="24"/>
                <w:szCs w:val="26"/>
              </w:rPr>
              <w:t>Phí</w:t>
            </w:r>
          </w:p>
        </w:tc>
        <w:tc>
          <w:tcPr>
            <w:tcW w:w="2693" w:type="dxa"/>
            <w:vAlign w:val="center"/>
          </w:tcPr>
          <w:p w14:paraId="58055681" w14:textId="77777777" w:rsidR="006F379D" w:rsidRPr="00C2155F" w:rsidRDefault="006F379D" w:rsidP="00E53B95">
            <w:pPr>
              <w:spacing w:after="0" w:line="240" w:lineRule="auto"/>
              <w:jc w:val="center"/>
              <w:rPr>
                <w:rFonts w:eastAsia="Calibri" w:cs="Times New Roman"/>
                <w:b/>
                <w:color w:val="000000" w:themeColor="text1"/>
                <w:sz w:val="24"/>
                <w:szCs w:val="26"/>
              </w:rPr>
            </w:pPr>
            <w:r w:rsidRPr="00C2155F">
              <w:rPr>
                <w:rFonts w:eastAsia="Calibri" w:cs="Times New Roman"/>
                <w:b/>
                <w:color w:val="000000" w:themeColor="text1"/>
                <w:sz w:val="24"/>
                <w:szCs w:val="26"/>
              </w:rPr>
              <w:t>Căn cứ pháp lý</w:t>
            </w:r>
          </w:p>
        </w:tc>
      </w:tr>
      <w:tr w:rsidR="00E6145F" w:rsidRPr="00E6145F" w14:paraId="4BD0ABA0" w14:textId="77777777" w:rsidTr="00C2155F">
        <w:trPr>
          <w:trHeight w:val="342"/>
        </w:trPr>
        <w:tc>
          <w:tcPr>
            <w:tcW w:w="562" w:type="dxa"/>
            <w:vAlign w:val="center"/>
          </w:tcPr>
          <w:p w14:paraId="744C7C32" w14:textId="3F2FB827" w:rsidR="00937DB8" w:rsidRPr="00E6145F" w:rsidRDefault="00937DB8" w:rsidP="00E53B95">
            <w:pPr>
              <w:spacing w:after="0" w:line="240" w:lineRule="auto"/>
              <w:jc w:val="center"/>
              <w:rPr>
                <w:rFonts w:eastAsia="Calibri" w:cs="Times New Roman"/>
                <w:b/>
                <w:color w:val="000000" w:themeColor="text1"/>
                <w:sz w:val="26"/>
                <w:szCs w:val="26"/>
              </w:rPr>
            </w:pPr>
          </w:p>
        </w:tc>
        <w:tc>
          <w:tcPr>
            <w:tcW w:w="14742" w:type="dxa"/>
            <w:gridSpan w:val="8"/>
            <w:vAlign w:val="center"/>
          </w:tcPr>
          <w:p w14:paraId="19AE3915" w14:textId="12430449" w:rsidR="00937DB8" w:rsidRPr="00E6145F" w:rsidRDefault="00C2155F" w:rsidP="00E53B95">
            <w:pPr>
              <w:spacing w:after="0" w:line="240" w:lineRule="auto"/>
              <w:jc w:val="both"/>
              <w:rPr>
                <w:rFonts w:eastAsia="Calibri" w:cs="Times New Roman"/>
                <w:b/>
                <w:color w:val="000000" w:themeColor="text1"/>
                <w:sz w:val="26"/>
                <w:szCs w:val="26"/>
              </w:rPr>
            </w:pPr>
            <w:r w:rsidRPr="00C2155F">
              <w:rPr>
                <w:rFonts w:eastAsia="Calibri" w:cs="Times New Roman"/>
                <w:b/>
                <w:color w:val="000000" w:themeColor="text1"/>
                <w:sz w:val="26"/>
                <w:szCs w:val="26"/>
              </w:rPr>
              <w:t xml:space="preserve">THỦ TỤC HÀNH CHÍNH </w:t>
            </w:r>
            <w:r w:rsidR="00937DB8" w:rsidRPr="00C2155F">
              <w:rPr>
                <w:rFonts w:eastAsia="Calibri" w:cs="Times New Roman"/>
                <w:b/>
                <w:color w:val="000000" w:themeColor="text1"/>
                <w:sz w:val="26"/>
                <w:szCs w:val="26"/>
              </w:rPr>
              <w:t>CẤP TỈNH</w:t>
            </w:r>
            <w:r>
              <w:rPr>
                <w:rFonts w:eastAsia="Calibri" w:cs="Times New Roman"/>
                <w:b/>
                <w:color w:val="000000" w:themeColor="text1"/>
                <w:sz w:val="26"/>
                <w:szCs w:val="26"/>
              </w:rPr>
              <w:t xml:space="preserve"> (05 TTHC) </w:t>
            </w:r>
          </w:p>
        </w:tc>
      </w:tr>
      <w:tr w:rsidR="00E6145F" w:rsidRPr="00E6145F" w14:paraId="5DE946E1" w14:textId="77777777" w:rsidTr="00185109">
        <w:trPr>
          <w:trHeight w:val="606"/>
        </w:trPr>
        <w:tc>
          <w:tcPr>
            <w:tcW w:w="562" w:type="dxa"/>
            <w:vAlign w:val="center"/>
          </w:tcPr>
          <w:p w14:paraId="05C70A87" w14:textId="74B6E4CF" w:rsidR="002A2463" w:rsidRPr="00C2155F" w:rsidRDefault="00BE7855" w:rsidP="00C2155F">
            <w:pPr>
              <w:spacing w:after="0" w:line="240" w:lineRule="auto"/>
              <w:jc w:val="center"/>
              <w:rPr>
                <w:rFonts w:eastAsia="Calibri" w:cs="Times New Roman"/>
                <w:bCs/>
                <w:color w:val="000000" w:themeColor="text1"/>
                <w:sz w:val="26"/>
                <w:szCs w:val="26"/>
              </w:rPr>
            </w:pPr>
            <w:r>
              <w:rPr>
                <w:rFonts w:eastAsia="Calibri" w:cs="Times New Roman"/>
                <w:bCs/>
                <w:color w:val="000000" w:themeColor="text1"/>
                <w:sz w:val="26"/>
                <w:szCs w:val="26"/>
              </w:rPr>
              <w:t>0</w:t>
            </w:r>
            <w:r w:rsidR="00C2155F">
              <w:rPr>
                <w:rFonts w:eastAsia="Calibri" w:cs="Times New Roman"/>
                <w:bCs/>
                <w:color w:val="000000" w:themeColor="text1"/>
                <w:sz w:val="26"/>
                <w:szCs w:val="26"/>
              </w:rPr>
              <w:t>1</w:t>
            </w:r>
          </w:p>
        </w:tc>
        <w:tc>
          <w:tcPr>
            <w:tcW w:w="2410" w:type="dxa"/>
            <w:vAlign w:val="center"/>
          </w:tcPr>
          <w:p w14:paraId="59EFFBE5" w14:textId="77777777" w:rsidR="002A2463" w:rsidRPr="00E6145F" w:rsidRDefault="00E60983" w:rsidP="00E53B95">
            <w:pPr>
              <w:pStyle w:val="Heading1"/>
              <w:shd w:val="clear" w:color="auto" w:fill="FFFFFF"/>
              <w:spacing w:before="0" w:after="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Thanh toán chi phí khám bệnh, chữa bệnh giữa cơ quan bảo hiểm xã hội và cơ sở khám bệnh, chữa bệnh</w:t>
            </w:r>
          </w:p>
          <w:p w14:paraId="4C0EB834" w14:textId="77777777" w:rsidR="00E60983" w:rsidRPr="00E6145F" w:rsidRDefault="00E60983" w:rsidP="005244DD">
            <w:pPr>
              <w:spacing w:after="0" w:line="240" w:lineRule="auto"/>
              <w:jc w:val="center"/>
              <w:rPr>
                <w:rFonts w:cs="Times New Roman"/>
                <w:color w:val="000000" w:themeColor="text1"/>
                <w:sz w:val="26"/>
                <w:szCs w:val="26"/>
              </w:rPr>
            </w:pPr>
            <w:r w:rsidRPr="00E6145F">
              <w:rPr>
                <w:rFonts w:cs="Times New Roman"/>
                <w:color w:val="000000" w:themeColor="text1"/>
                <w:sz w:val="26"/>
                <w:szCs w:val="26"/>
              </w:rPr>
              <w:t>(</w:t>
            </w:r>
            <w:bookmarkStart w:id="0" w:name="_Hlk212816991"/>
            <w:r w:rsidRPr="00E6145F">
              <w:rPr>
                <w:rFonts w:cs="Times New Roman"/>
                <w:color w:val="000000" w:themeColor="text1"/>
                <w:sz w:val="26"/>
                <w:szCs w:val="26"/>
                <w:lang w:val="vi-VN"/>
              </w:rPr>
              <w:t>3.000499</w:t>
            </w:r>
            <w:bookmarkEnd w:id="0"/>
            <w:r w:rsidRPr="00E6145F">
              <w:rPr>
                <w:rFonts w:cs="Times New Roman"/>
                <w:color w:val="000000" w:themeColor="text1"/>
                <w:sz w:val="26"/>
                <w:szCs w:val="26"/>
              </w:rPr>
              <w:t>)</w:t>
            </w:r>
          </w:p>
          <w:p w14:paraId="3FEB9A69" w14:textId="614BD2BE" w:rsidR="008F5A21" w:rsidRPr="00E6145F" w:rsidRDefault="008F5A21" w:rsidP="00E53B95">
            <w:pPr>
              <w:spacing w:after="0" w:line="240" w:lineRule="auto"/>
              <w:rPr>
                <w:rFonts w:cs="Times New Roman"/>
                <w:i/>
                <w:iCs/>
                <w:color w:val="000000" w:themeColor="text1"/>
                <w:sz w:val="26"/>
                <w:szCs w:val="26"/>
              </w:rPr>
            </w:pPr>
          </w:p>
        </w:tc>
        <w:tc>
          <w:tcPr>
            <w:tcW w:w="3940" w:type="dxa"/>
            <w:gridSpan w:val="2"/>
            <w:vAlign w:val="center"/>
          </w:tcPr>
          <w:p w14:paraId="5E8419B8" w14:textId="77777777" w:rsidR="00B4562B" w:rsidRPr="00E6145F" w:rsidRDefault="00EA502F" w:rsidP="005244DD">
            <w:pPr>
              <w:spacing w:before="60" w:after="60" w:line="240" w:lineRule="auto"/>
              <w:jc w:val="both"/>
              <w:rPr>
                <w:rFonts w:cs="Times New Roman"/>
                <w:color w:val="000000" w:themeColor="text1"/>
                <w:sz w:val="26"/>
                <w:szCs w:val="26"/>
              </w:rPr>
            </w:pPr>
            <w:r w:rsidRPr="00E6145F">
              <w:rPr>
                <w:rFonts w:cs="Times New Roman"/>
                <w:color w:val="000000" w:themeColor="text1"/>
                <w:sz w:val="26"/>
                <w:szCs w:val="26"/>
              </w:rPr>
              <w:t xml:space="preserve">- Trong thời hạn 30 ngày kể từ ngày nhận được báo cáo quyết toán quý trước của cơ sở khám bệnh, chữa bệnh, cơ quan bảo hiểm xã hội có trách nhiệm thông báo kết quả giám định và số quyết toán chi phí khám bệnh, chữa bệnh bảo hiểm y tế. </w:t>
            </w:r>
          </w:p>
          <w:p w14:paraId="4C8F8A6A" w14:textId="60CE1EE5" w:rsidR="002A2463" w:rsidRPr="00E6145F" w:rsidRDefault="00EA502F" w:rsidP="005244DD">
            <w:pPr>
              <w:spacing w:before="60" w:after="60" w:line="240" w:lineRule="auto"/>
              <w:jc w:val="both"/>
              <w:rPr>
                <w:rFonts w:eastAsia="Calibri" w:cs="Times New Roman"/>
                <w:color w:val="000000" w:themeColor="text1"/>
                <w:sz w:val="26"/>
                <w:szCs w:val="26"/>
              </w:rPr>
            </w:pPr>
            <w:r w:rsidRPr="00E6145F">
              <w:rPr>
                <w:rFonts w:cs="Times New Roman"/>
                <w:color w:val="000000" w:themeColor="text1"/>
                <w:sz w:val="26"/>
                <w:szCs w:val="26"/>
              </w:rPr>
              <w:t>- Trong thời hạn 10 ngày kể từ ngày thông báo số quyết toán chi phí khám bệnh, chữa bệnh bảo hiểm y tế, cơ quan bảo hiểm xã hội phải hoàn thành việc thanh toán với cơ sở khám bệnh, chữa bệnh.</w:t>
            </w:r>
          </w:p>
        </w:tc>
        <w:tc>
          <w:tcPr>
            <w:tcW w:w="2410" w:type="dxa"/>
            <w:gridSpan w:val="2"/>
            <w:vAlign w:val="center"/>
          </w:tcPr>
          <w:p w14:paraId="39BDDE0C" w14:textId="44DFAC83" w:rsidR="002A2463" w:rsidRPr="00E6145F" w:rsidRDefault="00F65419" w:rsidP="00C20E6C">
            <w:pPr>
              <w:spacing w:after="0" w:line="240" w:lineRule="auto"/>
              <w:jc w:val="both"/>
              <w:rPr>
                <w:rFonts w:eastAsia="Calibri" w:cs="Times New Roman"/>
                <w:b/>
                <w:i/>
                <w:iCs/>
                <w:color w:val="000000" w:themeColor="text1"/>
                <w:sz w:val="26"/>
                <w:szCs w:val="26"/>
              </w:rPr>
            </w:pPr>
            <w:r w:rsidRPr="00E6145F">
              <w:rPr>
                <w:rFonts w:eastAsia="Calibri" w:cs="Times New Roman"/>
                <w:b/>
                <w:color w:val="000000" w:themeColor="text1"/>
                <w:sz w:val="26"/>
                <w:szCs w:val="26"/>
              </w:rPr>
              <w:t>Cơ quan, đơn vị tiếp nhận</w:t>
            </w:r>
            <w:r w:rsidR="00C20E6C" w:rsidRPr="00E6145F">
              <w:rPr>
                <w:rFonts w:eastAsia="Calibri" w:cs="Times New Roman"/>
                <w:b/>
                <w:color w:val="000000" w:themeColor="text1"/>
                <w:sz w:val="26"/>
                <w:szCs w:val="26"/>
              </w:rPr>
              <w:t>, thực hiện</w:t>
            </w:r>
            <w:r w:rsidRPr="00E6145F">
              <w:rPr>
                <w:rFonts w:eastAsia="Calibri" w:cs="Times New Roman"/>
                <w:b/>
                <w:color w:val="000000" w:themeColor="text1"/>
                <w:sz w:val="26"/>
                <w:szCs w:val="26"/>
              </w:rPr>
              <w:t xml:space="preserve"> và trả kết quả:</w:t>
            </w:r>
            <w:r w:rsidR="00C20E6C" w:rsidRPr="00E6145F">
              <w:rPr>
                <w:rFonts w:eastAsia="Calibri" w:cs="Times New Roman"/>
                <w:b/>
                <w:color w:val="000000" w:themeColor="text1"/>
                <w:sz w:val="26"/>
                <w:szCs w:val="26"/>
              </w:rPr>
              <w:t xml:space="preserve"> </w:t>
            </w:r>
            <w:r w:rsidR="00163975">
              <w:rPr>
                <w:rFonts w:eastAsia="Calibri" w:cs="Times New Roman"/>
                <w:color w:val="000000" w:themeColor="text1"/>
                <w:sz w:val="26"/>
                <w:szCs w:val="26"/>
              </w:rPr>
              <w:t>Cơ quan B</w:t>
            </w:r>
            <w:r w:rsidR="00A44FB4" w:rsidRPr="00E6145F">
              <w:rPr>
                <w:rFonts w:eastAsia="Calibri" w:cs="Times New Roman"/>
                <w:color w:val="000000" w:themeColor="text1"/>
                <w:sz w:val="26"/>
                <w:szCs w:val="26"/>
              </w:rPr>
              <w:t>ảo hiểm xã hội</w:t>
            </w:r>
            <w:r w:rsidR="00BA70FB">
              <w:rPr>
                <w:rFonts w:eastAsia="Calibri" w:cs="Times New Roman"/>
                <w:color w:val="000000" w:themeColor="text1"/>
                <w:sz w:val="26"/>
                <w:szCs w:val="26"/>
              </w:rPr>
              <w:t>.</w:t>
            </w:r>
          </w:p>
        </w:tc>
        <w:tc>
          <w:tcPr>
            <w:tcW w:w="2155" w:type="dxa"/>
            <w:vAlign w:val="center"/>
          </w:tcPr>
          <w:p w14:paraId="43FC4E85" w14:textId="776B0C91" w:rsidR="00EA502F" w:rsidRPr="00E6145F" w:rsidRDefault="00B4562B" w:rsidP="00B4562B">
            <w:pPr>
              <w:spacing w:after="0" w:line="240" w:lineRule="auto"/>
              <w:ind w:firstLine="34"/>
              <w:jc w:val="center"/>
              <w:rPr>
                <w:rFonts w:eastAsia="Calibri" w:cs="Times New Roman"/>
                <w:color w:val="000000" w:themeColor="text1"/>
                <w:sz w:val="26"/>
                <w:szCs w:val="26"/>
                <w:shd w:val="clear" w:color="auto" w:fill="FFFFFF"/>
              </w:rPr>
            </w:pPr>
            <w:r w:rsidRPr="00E6145F">
              <w:rPr>
                <w:rFonts w:eastAsia="Calibri" w:cs="Times New Roman"/>
                <w:color w:val="000000" w:themeColor="text1"/>
                <w:sz w:val="26"/>
                <w:szCs w:val="26"/>
                <w:shd w:val="clear" w:color="auto" w:fill="FFFFFF"/>
              </w:rPr>
              <w:t>Trực tuyến hoặc trực tiếp</w:t>
            </w:r>
          </w:p>
        </w:tc>
        <w:tc>
          <w:tcPr>
            <w:tcW w:w="1134" w:type="dxa"/>
            <w:vAlign w:val="center"/>
          </w:tcPr>
          <w:p w14:paraId="415D2E31" w14:textId="1EE0F75F" w:rsidR="002A2463" w:rsidRPr="00E6145F" w:rsidRDefault="00EA502F" w:rsidP="00E53B95">
            <w:pPr>
              <w:spacing w:after="0" w:line="240" w:lineRule="auto"/>
              <w:jc w:val="center"/>
              <w:rPr>
                <w:rFonts w:eastAsia="Calibri" w:cs="Times New Roman"/>
                <w:color w:val="000000" w:themeColor="text1"/>
                <w:sz w:val="26"/>
                <w:szCs w:val="26"/>
              </w:rPr>
            </w:pPr>
            <w:r w:rsidRPr="00E6145F">
              <w:rPr>
                <w:rFonts w:eastAsia="Calibri" w:cs="Times New Roman"/>
                <w:color w:val="000000" w:themeColor="text1"/>
                <w:sz w:val="26"/>
                <w:szCs w:val="26"/>
              </w:rPr>
              <w:t>Không quy định</w:t>
            </w:r>
          </w:p>
        </w:tc>
        <w:tc>
          <w:tcPr>
            <w:tcW w:w="2693" w:type="dxa"/>
            <w:vAlign w:val="center"/>
          </w:tcPr>
          <w:p w14:paraId="10445FE6" w14:textId="77777777" w:rsidR="00DA0063" w:rsidRPr="00E6145F" w:rsidRDefault="00DA0063" w:rsidP="005244DD">
            <w:pPr>
              <w:spacing w:before="60" w:after="60" w:line="240" w:lineRule="auto"/>
              <w:jc w:val="both"/>
              <w:rPr>
                <w:rFonts w:cs="Times New Roman"/>
                <w:color w:val="000000" w:themeColor="text1"/>
                <w:sz w:val="26"/>
                <w:szCs w:val="26"/>
              </w:rPr>
            </w:pPr>
            <w:r w:rsidRPr="00E6145F">
              <w:rPr>
                <w:rFonts w:cs="Times New Roman"/>
                <w:color w:val="000000" w:themeColor="text1"/>
                <w:sz w:val="26"/>
                <w:szCs w:val="26"/>
              </w:rPr>
              <w:t xml:space="preserve">- Luật Bảo hiểm y tế số 25/2008/QH12 ngày 14/11/2008 của Quốc hội; Luật số 46/2014/QH13 ngày 13/6/2014 của Quốc hội sửa đổi, bổ sung một số điều của Luật Bảo hiểm y tế; Luật số 51/2024/QH15 ngày 27/11/2024 của Quốc hội sửa đổi, bổ sung một số điều của Luật Bảo hiểm y tế. </w:t>
            </w:r>
          </w:p>
          <w:p w14:paraId="2EC1DA87" w14:textId="670B822F" w:rsidR="002A2463" w:rsidRPr="00E6145F" w:rsidRDefault="00DA0063" w:rsidP="005244DD">
            <w:pPr>
              <w:spacing w:before="60" w:after="60" w:line="240" w:lineRule="auto"/>
              <w:jc w:val="both"/>
              <w:rPr>
                <w:rFonts w:eastAsia="Calibri" w:cs="Times New Roman"/>
                <w:color w:val="000000" w:themeColor="text1"/>
                <w:sz w:val="26"/>
                <w:szCs w:val="26"/>
              </w:rPr>
            </w:pPr>
            <w:r w:rsidRPr="00E6145F">
              <w:rPr>
                <w:rFonts w:cs="Times New Roman"/>
                <w:color w:val="000000" w:themeColor="text1"/>
                <w:sz w:val="26"/>
                <w:szCs w:val="26"/>
              </w:rPr>
              <w:t xml:space="preserve">- Nghị định số 188/2025/NĐ-CP ngày </w:t>
            </w:r>
            <w:r w:rsidRPr="00C2155F">
              <w:rPr>
                <w:rFonts w:cs="Times New Roman"/>
                <w:color w:val="000000" w:themeColor="text1"/>
                <w:sz w:val="26"/>
                <w:szCs w:val="26"/>
              </w:rPr>
              <w:t>0</w:t>
            </w:r>
            <w:r w:rsidR="00C2155F" w:rsidRPr="00C2155F">
              <w:rPr>
                <w:rFonts w:cs="Times New Roman"/>
                <w:color w:val="000000" w:themeColor="text1"/>
                <w:sz w:val="26"/>
                <w:szCs w:val="26"/>
              </w:rPr>
              <w:t>9</w:t>
            </w:r>
            <w:r w:rsidR="009742B6" w:rsidRPr="00C2155F">
              <w:rPr>
                <w:rFonts w:cs="Times New Roman"/>
                <w:color w:val="000000" w:themeColor="text1"/>
                <w:sz w:val="26"/>
                <w:szCs w:val="26"/>
              </w:rPr>
              <w:t>/</w:t>
            </w:r>
            <w:r w:rsidR="00C2155F" w:rsidRPr="00C2155F">
              <w:rPr>
                <w:rFonts w:cs="Times New Roman"/>
                <w:color w:val="000000" w:themeColor="text1"/>
                <w:sz w:val="26"/>
                <w:szCs w:val="26"/>
              </w:rPr>
              <w:t>6</w:t>
            </w:r>
            <w:r w:rsidR="009742B6" w:rsidRPr="00C2155F">
              <w:rPr>
                <w:rFonts w:cs="Times New Roman"/>
                <w:color w:val="000000" w:themeColor="text1"/>
                <w:sz w:val="26"/>
                <w:szCs w:val="26"/>
              </w:rPr>
              <w:t>/</w:t>
            </w:r>
            <w:r w:rsidRPr="00C2155F">
              <w:rPr>
                <w:rFonts w:cs="Times New Roman"/>
                <w:color w:val="000000" w:themeColor="text1"/>
                <w:sz w:val="26"/>
                <w:szCs w:val="26"/>
              </w:rPr>
              <w:t>2025</w:t>
            </w:r>
            <w:r w:rsidRPr="00E6145F">
              <w:rPr>
                <w:rFonts w:cs="Times New Roman"/>
                <w:color w:val="000000" w:themeColor="text1"/>
                <w:sz w:val="26"/>
                <w:szCs w:val="26"/>
              </w:rPr>
              <w:t xml:space="preserve"> của Chính phủ quy định chi tiết và hướng dẫn thi hành một số điều của Luật Bảo hiểm y tế. </w:t>
            </w:r>
          </w:p>
        </w:tc>
      </w:tr>
      <w:tr w:rsidR="00E6145F" w:rsidRPr="00E6145F" w14:paraId="363ED4E3" w14:textId="77777777" w:rsidTr="00185109">
        <w:trPr>
          <w:trHeight w:val="606"/>
        </w:trPr>
        <w:tc>
          <w:tcPr>
            <w:tcW w:w="562" w:type="dxa"/>
            <w:vAlign w:val="center"/>
          </w:tcPr>
          <w:p w14:paraId="33B53D5C" w14:textId="44D47CB6" w:rsidR="00DF7FD6" w:rsidRPr="00E6145F" w:rsidRDefault="00BE7855" w:rsidP="00C2155F">
            <w:pPr>
              <w:pStyle w:val="ListParagraph"/>
              <w:spacing w:after="0" w:line="240" w:lineRule="auto"/>
              <w:ind w:left="0"/>
              <w:jc w:val="center"/>
              <w:rPr>
                <w:rFonts w:eastAsia="Calibri" w:cs="Times New Roman"/>
                <w:bCs/>
                <w:color w:val="000000" w:themeColor="text1"/>
                <w:sz w:val="26"/>
                <w:szCs w:val="26"/>
              </w:rPr>
            </w:pPr>
            <w:r>
              <w:rPr>
                <w:rFonts w:eastAsia="Calibri" w:cs="Times New Roman"/>
                <w:bCs/>
                <w:color w:val="000000" w:themeColor="text1"/>
                <w:sz w:val="26"/>
                <w:szCs w:val="26"/>
              </w:rPr>
              <w:lastRenderedPageBreak/>
              <w:t>0</w:t>
            </w:r>
            <w:r w:rsidR="00C2155F">
              <w:rPr>
                <w:rFonts w:eastAsia="Calibri" w:cs="Times New Roman"/>
                <w:bCs/>
                <w:color w:val="000000" w:themeColor="text1"/>
                <w:sz w:val="26"/>
                <w:szCs w:val="26"/>
              </w:rPr>
              <w:t>2</w:t>
            </w:r>
          </w:p>
        </w:tc>
        <w:tc>
          <w:tcPr>
            <w:tcW w:w="2410" w:type="dxa"/>
            <w:shd w:val="clear" w:color="auto" w:fill="FFFFFF"/>
            <w:vAlign w:val="center"/>
          </w:tcPr>
          <w:p w14:paraId="47EFC05C" w14:textId="77777777" w:rsidR="00DF7FD6" w:rsidRPr="00E6145F" w:rsidRDefault="00DF7FD6" w:rsidP="00E53B95">
            <w:pPr>
              <w:pStyle w:val="Heading1"/>
              <w:shd w:val="clear" w:color="auto" w:fill="FFFFFF"/>
              <w:spacing w:before="0" w:after="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Thủ tục thanh toán trực tiếp chi phí khám bệnh, chữa bệnh giữa cơ quan bảo hiểm xã hội và người tham gia bảo hiểm y tế</w:t>
            </w:r>
          </w:p>
          <w:p w14:paraId="4AFFBCE6" w14:textId="53B35E64" w:rsidR="00D616F6" w:rsidRPr="00E6145F" w:rsidRDefault="00D616F6" w:rsidP="00E53B95">
            <w:pPr>
              <w:spacing w:after="0" w:line="240" w:lineRule="auto"/>
              <w:jc w:val="center"/>
              <w:rPr>
                <w:rFonts w:cs="Times New Roman"/>
                <w:color w:val="000000" w:themeColor="text1"/>
                <w:sz w:val="26"/>
                <w:szCs w:val="26"/>
              </w:rPr>
            </w:pPr>
            <w:r w:rsidRPr="00E6145F">
              <w:rPr>
                <w:rFonts w:cs="Times New Roman"/>
                <w:color w:val="000000" w:themeColor="text1"/>
                <w:sz w:val="26"/>
                <w:szCs w:val="26"/>
              </w:rPr>
              <w:t>(</w:t>
            </w:r>
            <w:bookmarkStart w:id="1" w:name="_Hlk212817833"/>
            <w:r w:rsidRPr="00E6145F">
              <w:rPr>
                <w:rFonts w:cs="Times New Roman"/>
                <w:color w:val="000000" w:themeColor="text1"/>
                <w:sz w:val="26"/>
                <w:szCs w:val="26"/>
                <w:lang w:val="vi-VN"/>
              </w:rPr>
              <w:t>1.014140</w:t>
            </w:r>
            <w:bookmarkEnd w:id="1"/>
            <w:r w:rsidRPr="00E6145F">
              <w:rPr>
                <w:rFonts w:cs="Times New Roman"/>
                <w:color w:val="000000" w:themeColor="text1"/>
                <w:sz w:val="26"/>
                <w:szCs w:val="26"/>
              </w:rPr>
              <w:t>)</w:t>
            </w:r>
          </w:p>
        </w:tc>
        <w:tc>
          <w:tcPr>
            <w:tcW w:w="3940" w:type="dxa"/>
            <w:gridSpan w:val="2"/>
            <w:vAlign w:val="center"/>
          </w:tcPr>
          <w:p w14:paraId="495A2904" w14:textId="00596453" w:rsidR="00DF7FD6" w:rsidRPr="00E6145F" w:rsidRDefault="004A6492" w:rsidP="005244DD">
            <w:pPr>
              <w:spacing w:before="60" w:after="60" w:line="240" w:lineRule="auto"/>
              <w:jc w:val="both"/>
              <w:rPr>
                <w:rFonts w:eastAsia="Calibri" w:cs="Times New Roman"/>
                <w:color w:val="000000" w:themeColor="text1"/>
                <w:sz w:val="26"/>
                <w:szCs w:val="26"/>
              </w:rPr>
            </w:pPr>
            <w:r w:rsidRPr="00E6145F">
              <w:rPr>
                <w:rFonts w:eastAsia="Calibri" w:cs="Times New Roman"/>
                <w:color w:val="000000" w:themeColor="text1"/>
                <w:sz w:val="26"/>
                <w:szCs w:val="26"/>
              </w:rPr>
              <w:t xml:space="preserve">- Trường hợp </w:t>
            </w:r>
            <w:r w:rsidR="00E70D5C" w:rsidRPr="00E6145F">
              <w:rPr>
                <w:rFonts w:eastAsia="Calibri" w:cs="Times New Roman"/>
                <w:color w:val="000000" w:themeColor="text1"/>
                <w:sz w:val="26"/>
                <w:szCs w:val="26"/>
              </w:rPr>
              <w:t>không</w:t>
            </w:r>
            <w:r w:rsidRPr="00E6145F">
              <w:rPr>
                <w:rFonts w:eastAsia="Calibri" w:cs="Times New Roman"/>
                <w:color w:val="000000" w:themeColor="text1"/>
                <w:sz w:val="26"/>
                <w:szCs w:val="26"/>
              </w:rPr>
              <w:t xml:space="preserve"> yêu cầu sửa đổi, bổ sung hồ sơ: 25 ngày kể từ ngày nhận đủ hồ sơ.</w:t>
            </w:r>
          </w:p>
          <w:p w14:paraId="26415C7A" w14:textId="77777777" w:rsidR="004A6492" w:rsidRPr="00E6145F" w:rsidRDefault="004A6492" w:rsidP="005244DD">
            <w:pPr>
              <w:spacing w:before="60" w:after="60" w:line="240" w:lineRule="auto"/>
              <w:jc w:val="both"/>
              <w:rPr>
                <w:rFonts w:eastAsia="Calibri" w:cs="Times New Roman"/>
                <w:color w:val="000000" w:themeColor="text1"/>
                <w:sz w:val="26"/>
                <w:szCs w:val="26"/>
              </w:rPr>
            </w:pPr>
            <w:r w:rsidRPr="00E6145F">
              <w:rPr>
                <w:rFonts w:eastAsia="Calibri" w:cs="Times New Roman"/>
                <w:color w:val="000000" w:themeColor="text1"/>
                <w:sz w:val="26"/>
                <w:szCs w:val="26"/>
              </w:rPr>
              <w:t xml:space="preserve">- Trường hợp </w:t>
            </w:r>
            <w:r w:rsidR="00E70D5C" w:rsidRPr="00E6145F">
              <w:rPr>
                <w:rFonts w:eastAsia="Calibri" w:cs="Times New Roman"/>
                <w:color w:val="000000" w:themeColor="text1"/>
                <w:sz w:val="26"/>
                <w:szCs w:val="26"/>
              </w:rPr>
              <w:t xml:space="preserve">có </w:t>
            </w:r>
            <w:r w:rsidRPr="00E6145F">
              <w:rPr>
                <w:rFonts w:eastAsia="Calibri" w:cs="Times New Roman"/>
                <w:color w:val="000000" w:themeColor="text1"/>
                <w:sz w:val="26"/>
                <w:szCs w:val="26"/>
              </w:rPr>
              <w:t>yêu cầu sửa đổi, bổ sung hồ sơ:</w:t>
            </w:r>
            <w:r w:rsidR="00E70D5C" w:rsidRPr="00E6145F">
              <w:rPr>
                <w:rFonts w:eastAsia="Calibri" w:cs="Times New Roman"/>
                <w:color w:val="000000" w:themeColor="text1"/>
                <w:sz w:val="26"/>
                <w:szCs w:val="26"/>
              </w:rPr>
              <w:t xml:space="preserve"> 45 ngày kể từ ngày nhận hồ sơ.</w:t>
            </w:r>
          </w:p>
          <w:p w14:paraId="4FFEB286" w14:textId="352C1C22" w:rsidR="00E70D5C" w:rsidRPr="00E6145F" w:rsidRDefault="00E70D5C" w:rsidP="005244DD">
            <w:pPr>
              <w:spacing w:before="60" w:after="60" w:line="240" w:lineRule="auto"/>
              <w:jc w:val="both"/>
              <w:rPr>
                <w:rFonts w:eastAsia="Calibri" w:cs="Times New Roman"/>
                <w:color w:val="000000" w:themeColor="text1"/>
                <w:sz w:val="26"/>
                <w:szCs w:val="26"/>
              </w:rPr>
            </w:pPr>
            <w:r w:rsidRPr="00E6145F">
              <w:rPr>
                <w:rFonts w:eastAsia="Calibri" w:cs="Times New Roman"/>
                <w:color w:val="000000" w:themeColor="text1"/>
                <w:sz w:val="26"/>
                <w:szCs w:val="26"/>
              </w:rPr>
              <w:t xml:space="preserve">- </w:t>
            </w:r>
            <w:r w:rsidR="00AB24E5" w:rsidRPr="00E6145F">
              <w:rPr>
                <w:rFonts w:eastAsia="Calibri" w:cs="Times New Roman"/>
                <w:color w:val="000000" w:themeColor="text1"/>
                <w:sz w:val="26"/>
                <w:szCs w:val="26"/>
              </w:rPr>
              <w:t>Trường hợp thanh toán cơ quan, tổ chức, người sử dụng lao động chậm đóng, trốn đóng bảo hiểm y tế hoàn trả chi phí khám bệnh, chữa bệnh bảo hiểm y tế cho người lao động: 40 ngày kể từ ngày nhận đủ hồ sơ đề nghị thanh toán</w:t>
            </w:r>
          </w:p>
        </w:tc>
        <w:tc>
          <w:tcPr>
            <w:tcW w:w="2410" w:type="dxa"/>
            <w:gridSpan w:val="2"/>
            <w:vAlign w:val="center"/>
          </w:tcPr>
          <w:p w14:paraId="11464773" w14:textId="6E1FF9D0" w:rsidR="00393A92" w:rsidRPr="00E6145F" w:rsidRDefault="00393A92" w:rsidP="005244DD">
            <w:pPr>
              <w:spacing w:before="60" w:after="60" w:line="240" w:lineRule="auto"/>
              <w:jc w:val="both"/>
              <w:rPr>
                <w:rFonts w:cs="Times New Roman"/>
                <w:b/>
                <w:bCs/>
                <w:color w:val="000000" w:themeColor="text1"/>
                <w:sz w:val="26"/>
                <w:szCs w:val="26"/>
              </w:rPr>
            </w:pPr>
            <w:r w:rsidRPr="00E6145F">
              <w:rPr>
                <w:rFonts w:cs="Times New Roman"/>
                <w:b/>
                <w:bCs/>
                <w:color w:val="000000" w:themeColor="text1"/>
                <w:sz w:val="26"/>
                <w:szCs w:val="26"/>
              </w:rPr>
              <w:t xml:space="preserve">- Cơ quan, đơn vị tiếp nhân và trả kết quả: </w:t>
            </w:r>
            <w:r w:rsidRPr="002A098F">
              <w:rPr>
                <w:rFonts w:cs="Times New Roman"/>
                <w:color w:val="000000" w:themeColor="text1"/>
                <w:sz w:val="26"/>
                <w:szCs w:val="26"/>
              </w:rPr>
              <w:t>Trung tâm Phục vụ hành chính công cấp tỉnh, xã</w:t>
            </w:r>
            <w:r w:rsidR="00BA70FB" w:rsidRPr="002A098F">
              <w:rPr>
                <w:rFonts w:cs="Times New Roman"/>
                <w:color w:val="000000" w:themeColor="text1"/>
                <w:sz w:val="26"/>
                <w:szCs w:val="26"/>
              </w:rPr>
              <w:t>.</w:t>
            </w:r>
          </w:p>
          <w:p w14:paraId="791398E4" w14:textId="3C3F0B1D" w:rsidR="00DF7FD6" w:rsidRPr="00E6145F" w:rsidRDefault="00393A92" w:rsidP="005244DD">
            <w:pPr>
              <w:spacing w:before="60" w:after="60" w:line="240" w:lineRule="auto"/>
              <w:jc w:val="both"/>
              <w:rPr>
                <w:rFonts w:eastAsia="Calibri" w:cs="Times New Roman"/>
                <w:b/>
                <w:color w:val="000000" w:themeColor="text1"/>
                <w:sz w:val="26"/>
                <w:szCs w:val="26"/>
              </w:rPr>
            </w:pPr>
            <w:r w:rsidRPr="00E6145F">
              <w:rPr>
                <w:rFonts w:cs="Times New Roman"/>
                <w:b/>
                <w:bCs/>
                <w:color w:val="000000" w:themeColor="text1"/>
                <w:sz w:val="26"/>
                <w:szCs w:val="26"/>
              </w:rPr>
              <w:t xml:space="preserve">- </w:t>
            </w:r>
            <w:r w:rsidR="0031600D" w:rsidRPr="00E6145F">
              <w:rPr>
                <w:rFonts w:cs="Times New Roman"/>
                <w:b/>
                <w:bCs/>
                <w:color w:val="000000" w:themeColor="text1"/>
                <w:sz w:val="26"/>
                <w:szCs w:val="26"/>
              </w:rPr>
              <w:t xml:space="preserve">Cơ quan </w:t>
            </w:r>
            <w:r w:rsidR="00B92D4E" w:rsidRPr="00E6145F">
              <w:rPr>
                <w:rFonts w:cs="Times New Roman"/>
                <w:b/>
                <w:bCs/>
                <w:color w:val="000000" w:themeColor="text1"/>
                <w:sz w:val="26"/>
                <w:szCs w:val="26"/>
              </w:rPr>
              <w:t>thực hiện</w:t>
            </w:r>
            <w:r w:rsidR="006A6CD7">
              <w:rPr>
                <w:rFonts w:cs="Times New Roman"/>
                <w:color w:val="000000" w:themeColor="text1"/>
                <w:sz w:val="26"/>
                <w:szCs w:val="26"/>
              </w:rPr>
              <w:t>: Cơ quan B</w:t>
            </w:r>
            <w:r w:rsidR="0031600D" w:rsidRPr="00E6145F">
              <w:rPr>
                <w:rFonts w:cs="Times New Roman"/>
                <w:color w:val="000000" w:themeColor="text1"/>
                <w:sz w:val="26"/>
                <w:szCs w:val="26"/>
              </w:rPr>
              <w:t>ảo hiểm xã hội; cơ quan, tổ chức, người sử dụng lao động chậm đóng, trốn đóng bảo hiểm y tế.</w:t>
            </w:r>
          </w:p>
        </w:tc>
        <w:tc>
          <w:tcPr>
            <w:tcW w:w="2155" w:type="dxa"/>
            <w:vAlign w:val="center"/>
          </w:tcPr>
          <w:p w14:paraId="7FDD5757" w14:textId="464B4B71" w:rsidR="00DF7FD6" w:rsidRPr="00E6145F" w:rsidRDefault="0031600D" w:rsidP="0031600D">
            <w:pPr>
              <w:spacing w:after="0" w:line="240" w:lineRule="auto"/>
              <w:ind w:firstLine="34"/>
              <w:jc w:val="center"/>
              <w:rPr>
                <w:rFonts w:eastAsia="Calibri" w:cs="Times New Roman"/>
                <w:color w:val="000000" w:themeColor="text1"/>
                <w:sz w:val="26"/>
                <w:szCs w:val="26"/>
                <w:shd w:val="clear" w:color="auto" w:fill="FFFFFF"/>
              </w:rPr>
            </w:pPr>
            <w:r w:rsidRPr="00E6145F">
              <w:rPr>
                <w:rFonts w:cs="Times New Roman"/>
                <w:color w:val="000000" w:themeColor="text1"/>
                <w:sz w:val="26"/>
                <w:szCs w:val="26"/>
              </w:rPr>
              <w:t>Trực tuyến hoặc trực tiếp</w:t>
            </w:r>
          </w:p>
        </w:tc>
        <w:tc>
          <w:tcPr>
            <w:tcW w:w="1134" w:type="dxa"/>
            <w:vAlign w:val="center"/>
          </w:tcPr>
          <w:p w14:paraId="696C8FD3" w14:textId="06527BB9" w:rsidR="00DF7FD6" w:rsidRPr="00E6145F" w:rsidRDefault="003C6BF1" w:rsidP="00E53B95">
            <w:pPr>
              <w:spacing w:after="0" w:line="240" w:lineRule="auto"/>
              <w:jc w:val="center"/>
              <w:rPr>
                <w:rFonts w:eastAsia="Calibri" w:cs="Times New Roman"/>
                <w:color w:val="000000" w:themeColor="text1"/>
                <w:sz w:val="26"/>
                <w:szCs w:val="26"/>
              </w:rPr>
            </w:pPr>
            <w:r w:rsidRPr="00E6145F">
              <w:rPr>
                <w:rFonts w:eastAsia="Calibri" w:cs="Times New Roman"/>
                <w:color w:val="000000" w:themeColor="text1"/>
                <w:sz w:val="26"/>
                <w:szCs w:val="26"/>
              </w:rPr>
              <w:t>Không quy định</w:t>
            </w:r>
          </w:p>
        </w:tc>
        <w:tc>
          <w:tcPr>
            <w:tcW w:w="2693" w:type="dxa"/>
            <w:vAlign w:val="center"/>
          </w:tcPr>
          <w:p w14:paraId="2FB1281E" w14:textId="77777777" w:rsidR="009742B6" w:rsidRPr="00E6145F" w:rsidRDefault="003C6BF1" w:rsidP="005244DD">
            <w:pPr>
              <w:spacing w:before="60" w:after="60" w:line="240" w:lineRule="auto"/>
              <w:jc w:val="both"/>
              <w:rPr>
                <w:rFonts w:cs="Times New Roman"/>
                <w:color w:val="000000" w:themeColor="text1"/>
                <w:sz w:val="26"/>
                <w:szCs w:val="26"/>
              </w:rPr>
            </w:pPr>
            <w:r w:rsidRPr="00E6145F">
              <w:rPr>
                <w:rFonts w:cs="Times New Roman"/>
                <w:color w:val="000000" w:themeColor="text1"/>
                <w:sz w:val="26"/>
                <w:szCs w:val="26"/>
              </w:rPr>
              <w:t xml:space="preserve">- Luật Bảo hiểm y tế số 25/2008/QH12 ngày 14/11/2008 của Quốc hội; 49 Luật số 46/2014/QH13 ngày 13/2014 của Quốc hội sửa đổi, bổ sung một số điều của Luật Bảo hiểm y tế; Luật số 51/2024/QH15 ngày 27/11/2024 của Quốc hội sửa đổi, bổ sung một số điều của Luật Bảo hiểm y tế. </w:t>
            </w:r>
          </w:p>
          <w:p w14:paraId="04D68F29" w14:textId="1FD98FE3" w:rsidR="00DF7FD6" w:rsidRPr="00E6145F" w:rsidRDefault="003C6BF1" w:rsidP="0074549D">
            <w:pPr>
              <w:spacing w:before="60" w:after="60" w:line="240" w:lineRule="auto"/>
              <w:jc w:val="both"/>
              <w:rPr>
                <w:rFonts w:eastAsia="Calibri" w:cs="Times New Roman"/>
                <w:color w:val="000000" w:themeColor="text1"/>
                <w:sz w:val="26"/>
                <w:szCs w:val="26"/>
              </w:rPr>
            </w:pPr>
            <w:r w:rsidRPr="00E6145F">
              <w:rPr>
                <w:rFonts w:cs="Times New Roman"/>
                <w:color w:val="000000" w:themeColor="text1"/>
                <w:sz w:val="26"/>
                <w:szCs w:val="26"/>
              </w:rPr>
              <w:t>- Nghị định số 188/2025/NĐ-CP ngày 0</w:t>
            </w:r>
            <w:r w:rsidR="0074549D">
              <w:rPr>
                <w:rFonts w:cs="Times New Roman"/>
                <w:color w:val="000000" w:themeColor="text1"/>
                <w:sz w:val="26"/>
                <w:szCs w:val="26"/>
              </w:rPr>
              <w:t>9</w:t>
            </w:r>
            <w:r w:rsidR="009742B6" w:rsidRPr="00E6145F">
              <w:rPr>
                <w:rFonts w:cs="Times New Roman"/>
                <w:color w:val="000000" w:themeColor="text1"/>
                <w:sz w:val="26"/>
                <w:szCs w:val="26"/>
              </w:rPr>
              <w:t>/</w:t>
            </w:r>
            <w:r w:rsidR="0074549D">
              <w:rPr>
                <w:rFonts w:cs="Times New Roman"/>
                <w:color w:val="000000" w:themeColor="text1"/>
                <w:sz w:val="26"/>
                <w:szCs w:val="26"/>
              </w:rPr>
              <w:t>6</w:t>
            </w:r>
            <w:r w:rsidR="009742B6" w:rsidRPr="00E6145F">
              <w:rPr>
                <w:rFonts w:cs="Times New Roman"/>
                <w:color w:val="000000" w:themeColor="text1"/>
                <w:sz w:val="26"/>
                <w:szCs w:val="26"/>
              </w:rPr>
              <w:t>/</w:t>
            </w:r>
            <w:r w:rsidRPr="00E6145F">
              <w:rPr>
                <w:rFonts w:cs="Times New Roman"/>
                <w:color w:val="000000" w:themeColor="text1"/>
                <w:sz w:val="26"/>
                <w:szCs w:val="26"/>
              </w:rPr>
              <w:t>2025 của Chính phủ</w:t>
            </w:r>
            <w:r w:rsidR="009742B6" w:rsidRPr="00E6145F">
              <w:rPr>
                <w:rFonts w:cs="Times New Roman"/>
                <w:color w:val="000000" w:themeColor="text1"/>
                <w:sz w:val="26"/>
                <w:szCs w:val="26"/>
              </w:rPr>
              <w:t>.</w:t>
            </w:r>
          </w:p>
        </w:tc>
      </w:tr>
      <w:tr w:rsidR="00E6145F" w:rsidRPr="00E6145F" w14:paraId="50214ACD" w14:textId="77777777" w:rsidTr="00185109">
        <w:trPr>
          <w:trHeight w:val="606"/>
        </w:trPr>
        <w:tc>
          <w:tcPr>
            <w:tcW w:w="562" w:type="dxa"/>
            <w:vAlign w:val="center"/>
          </w:tcPr>
          <w:p w14:paraId="68DED6BE" w14:textId="40A66549" w:rsidR="00DF7FD6" w:rsidRPr="00C2155F" w:rsidRDefault="00BE7855" w:rsidP="00C2155F">
            <w:pPr>
              <w:spacing w:after="0" w:line="240" w:lineRule="auto"/>
              <w:jc w:val="center"/>
              <w:rPr>
                <w:rFonts w:eastAsia="Calibri" w:cs="Times New Roman"/>
                <w:bCs/>
                <w:color w:val="000000" w:themeColor="text1"/>
                <w:sz w:val="26"/>
                <w:szCs w:val="26"/>
              </w:rPr>
            </w:pPr>
            <w:r>
              <w:rPr>
                <w:rFonts w:eastAsia="Calibri" w:cs="Times New Roman"/>
                <w:bCs/>
                <w:color w:val="000000" w:themeColor="text1"/>
                <w:sz w:val="26"/>
                <w:szCs w:val="26"/>
              </w:rPr>
              <w:t>0</w:t>
            </w:r>
            <w:r w:rsidR="00C2155F">
              <w:rPr>
                <w:rFonts w:eastAsia="Calibri" w:cs="Times New Roman"/>
                <w:bCs/>
                <w:color w:val="000000" w:themeColor="text1"/>
                <w:sz w:val="26"/>
                <w:szCs w:val="26"/>
              </w:rPr>
              <w:t>3</w:t>
            </w:r>
          </w:p>
        </w:tc>
        <w:tc>
          <w:tcPr>
            <w:tcW w:w="2410" w:type="dxa"/>
            <w:shd w:val="clear" w:color="auto" w:fill="FFFFFF"/>
            <w:vAlign w:val="center"/>
          </w:tcPr>
          <w:p w14:paraId="1291D452" w14:textId="77777777" w:rsidR="00DF7FD6" w:rsidRPr="00E6145F" w:rsidRDefault="00DF7FD6" w:rsidP="00E53B95">
            <w:pPr>
              <w:pStyle w:val="Heading1"/>
              <w:shd w:val="clear" w:color="auto" w:fill="FFFFFF"/>
              <w:spacing w:before="0" w:after="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Ký hợp đồng khám bệnh, chữa bệnh bảo hiểm y tế</w:t>
            </w:r>
          </w:p>
          <w:p w14:paraId="47E11728" w14:textId="2FE7111D" w:rsidR="00D616F6" w:rsidRPr="00E6145F" w:rsidRDefault="00D616F6" w:rsidP="00E53B95">
            <w:pPr>
              <w:spacing w:after="0" w:line="240" w:lineRule="auto"/>
              <w:jc w:val="center"/>
              <w:rPr>
                <w:rFonts w:cs="Times New Roman"/>
                <w:color w:val="000000" w:themeColor="text1"/>
                <w:sz w:val="26"/>
                <w:szCs w:val="26"/>
              </w:rPr>
            </w:pPr>
            <w:r w:rsidRPr="00E6145F">
              <w:rPr>
                <w:rFonts w:cs="Times New Roman"/>
                <w:color w:val="000000" w:themeColor="text1"/>
                <w:sz w:val="26"/>
                <w:szCs w:val="26"/>
              </w:rPr>
              <w:t>(</w:t>
            </w:r>
            <w:bookmarkStart w:id="2" w:name="_Hlk212817728"/>
            <w:r w:rsidRPr="00E6145F">
              <w:rPr>
                <w:rFonts w:cs="Times New Roman"/>
                <w:color w:val="000000" w:themeColor="text1"/>
                <w:sz w:val="26"/>
                <w:szCs w:val="26"/>
                <w:lang w:val="vi-VN"/>
              </w:rPr>
              <w:t>1.014138</w:t>
            </w:r>
            <w:bookmarkEnd w:id="2"/>
            <w:r w:rsidRPr="00E6145F">
              <w:rPr>
                <w:rFonts w:cs="Times New Roman"/>
                <w:color w:val="000000" w:themeColor="text1"/>
                <w:sz w:val="26"/>
                <w:szCs w:val="26"/>
              </w:rPr>
              <w:t>)</w:t>
            </w:r>
          </w:p>
        </w:tc>
        <w:tc>
          <w:tcPr>
            <w:tcW w:w="3940" w:type="dxa"/>
            <w:gridSpan w:val="2"/>
            <w:vAlign w:val="center"/>
          </w:tcPr>
          <w:p w14:paraId="6E4F5D4F" w14:textId="77777777" w:rsidR="00DF7FD6" w:rsidRPr="00E6145F" w:rsidRDefault="00DF747D"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Trường hợp ký hợp đồng lần đầu:</w:t>
            </w:r>
          </w:p>
          <w:p w14:paraId="065E9245" w14:textId="77777777" w:rsidR="00DF747D" w:rsidRPr="00E6145F" w:rsidRDefault="00DF747D"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Trường hợp không có yêu cầu sửa đổi, bổ sung hồ sơ: 10 ngày kể từ ngày nhận đủ hồ sơ hợp lệ và đủ điều kiện để ký hợp đồng.</w:t>
            </w:r>
          </w:p>
          <w:p w14:paraId="0738C2EB" w14:textId="77777777" w:rsidR="00DF747D" w:rsidRPr="00E6145F" w:rsidRDefault="00DF747D"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xml:space="preserve">+ Trường hợp yêu cầu sửa đổi, bổ sung hồ sơ: </w:t>
            </w:r>
            <w:r w:rsidR="00305167" w:rsidRPr="00E6145F">
              <w:rPr>
                <w:rFonts w:ascii="Times New Roman" w:hAnsi="Times New Roman" w:cs="Times New Roman"/>
                <w:color w:val="000000" w:themeColor="text1"/>
                <w:spacing w:val="-6"/>
                <w:sz w:val="26"/>
                <w:szCs w:val="26"/>
              </w:rPr>
              <w:t>45 ngày.</w:t>
            </w:r>
          </w:p>
          <w:p w14:paraId="49AA4B7A" w14:textId="77777777" w:rsidR="00305167" w:rsidRPr="00E6145F" w:rsidRDefault="00305167"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Trường hợp ký hợp đồng nối tiếp:</w:t>
            </w:r>
          </w:p>
          <w:p w14:paraId="6E0BC885" w14:textId="77777777" w:rsidR="00305167" w:rsidRPr="00E6145F" w:rsidRDefault="00305167"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Trường hợp không có yêu cầu sửa đổi, bổ sung hồ sơ: 03 ngày làm việc.</w:t>
            </w:r>
          </w:p>
          <w:p w14:paraId="5DF50411" w14:textId="77777777" w:rsidR="00DD1C96" w:rsidRDefault="006B52F0"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xml:space="preserve">+ Trường hợp yêu cầu sửa đổi, bổ sung hồ sơ: </w:t>
            </w:r>
            <w:r w:rsidR="00DD1C96" w:rsidRPr="00E6145F">
              <w:rPr>
                <w:rFonts w:ascii="Times New Roman" w:hAnsi="Times New Roman" w:cs="Times New Roman"/>
                <w:color w:val="000000" w:themeColor="text1"/>
                <w:spacing w:val="-6"/>
                <w:sz w:val="26"/>
                <w:szCs w:val="26"/>
              </w:rPr>
              <w:t>10 ngày và 05 ngày làm việc</w:t>
            </w:r>
          </w:p>
          <w:p w14:paraId="21423519" w14:textId="18A8B714" w:rsidR="006D2286" w:rsidRPr="006D2286" w:rsidRDefault="006D2286" w:rsidP="005244DD">
            <w:pPr>
              <w:spacing w:before="60" w:after="60"/>
            </w:pPr>
          </w:p>
        </w:tc>
        <w:tc>
          <w:tcPr>
            <w:tcW w:w="2410" w:type="dxa"/>
            <w:gridSpan w:val="2"/>
            <w:vAlign w:val="center"/>
          </w:tcPr>
          <w:p w14:paraId="03FBB237" w14:textId="314645DF" w:rsidR="00DF7FD6" w:rsidRPr="00E6145F" w:rsidRDefault="00B92D4E" w:rsidP="005244DD">
            <w:pPr>
              <w:spacing w:before="60" w:after="60" w:line="240" w:lineRule="auto"/>
              <w:jc w:val="both"/>
              <w:rPr>
                <w:rFonts w:eastAsia="Calibri" w:cs="Times New Roman"/>
                <w:bCs/>
                <w:color w:val="000000" w:themeColor="text1"/>
                <w:sz w:val="26"/>
                <w:szCs w:val="26"/>
              </w:rPr>
            </w:pPr>
            <w:r w:rsidRPr="00E6145F">
              <w:rPr>
                <w:rFonts w:eastAsia="Calibri" w:cs="Times New Roman"/>
                <w:b/>
                <w:color w:val="000000" w:themeColor="text1"/>
                <w:sz w:val="26"/>
                <w:szCs w:val="26"/>
              </w:rPr>
              <w:t>Cơ quan, đơn vị tiếp nh</w:t>
            </w:r>
            <w:r w:rsidR="00BA70FB">
              <w:rPr>
                <w:rFonts w:eastAsia="Calibri" w:cs="Times New Roman"/>
                <w:b/>
                <w:color w:val="000000" w:themeColor="text1"/>
                <w:sz w:val="26"/>
                <w:szCs w:val="26"/>
              </w:rPr>
              <w:t>ận, thực hiện</w:t>
            </w:r>
            <w:r w:rsidRPr="00E6145F">
              <w:rPr>
                <w:rFonts w:eastAsia="Calibri" w:cs="Times New Roman"/>
                <w:b/>
                <w:color w:val="000000" w:themeColor="text1"/>
                <w:sz w:val="26"/>
                <w:szCs w:val="26"/>
              </w:rPr>
              <w:t xml:space="preserve"> và trả kết quả</w:t>
            </w:r>
            <w:r w:rsidR="002C7E08" w:rsidRPr="00E6145F">
              <w:rPr>
                <w:rFonts w:eastAsia="Calibri" w:cs="Times New Roman"/>
                <w:b/>
                <w:color w:val="000000" w:themeColor="text1"/>
                <w:sz w:val="26"/>
                <w:szCs w:val="26"/>
              </w:rPr>
              <w:t>:</w:t>
            </w:r>
            <w:r w:rsidR="00BA70FB">
              <w:rPr>
                <w:rFonts w:eastAsia="Calibri" w:cs="Times New Roman"/>
                <w:b/>
                <w:color w:val="000000" w:themeColor="text1"/>
                <w:sz w:val="26"/>
                <w:szCs w:val="26"/>
              </w:rPr>
              <w:t xml:space="preserve"> </w:t>
            </w:r>
            <w:r w:rsidR="0097281C">
              <w:rPr>
                <w:rFonts w:cs="Times New Roman"/>
                <w:color w:val="000000" w:themeColor="text1"/>
                <w:sz w:val="26"/>
                <w:szCs w:val="26"/>
              </w:rPr>
              <w:t>Cơ quan B</w:t>
            </w:r>
            <w:r w:rsidR="00B34F44" w:rsidRPr="00E6145F">
              <w:rPr>
                <w:rFonts w:cs="Times New Roman"/>
                <w:color w:val="000000" w:themeColor="text1"/>
                <w:sz w:val="26"/>
                <w:szCs w:val="26"/>
              </w:rPr>
              <w:t>ảo hiểm xã hội và cơ sở khám bệnh, chữa bệnh.</w:t>
            </w:r>
          </w:p>
        </w:tc>
        <w:tc>
          <w:tcPr>
            <w:tcW w:w="2155" w:type="dxa"/>
            <w:vAlign w:val="center"/>
          </w:tcPr>
          <w:p w14:paraId="3C2F2D09" w14:textId="77777777" w:rsidR="008F397B" w:rsidRPr="00E6145F" w:rsidRDefault="008F397B" w:rsidP="005244DD">
            <w:pPr>
              <w:spacing w:before="60" w:after="60" w:line="240" w:lineRule="auto"/>
              <w:ind w:firstLine="34"/>
              <w:jc w:val="both"/>
              <w:rPr>
                <w:rFonts w:cs="Times New Roman"/>
                <w:color w:val="000000" w:themeColor="text1"/>
                <w:sz w:val="26"/>
                <w:szCs w:val="26"/>
              </w:rPr>
            </w:pPr>
            <w:r w:rsidRPr="00E6145F">
              <w:rPr>
                <w:rFonts w:cs="Times New Roman"/>
                <w:color w:val="000000" w:themeColor="text1"/>
                <w:sz w:val="26"/>
                <w:szCs w:val="26"/>
              </w:rPr>
              <w:t xml:space="preserve">- Hồ sơ được nộp trên Cổng dịch vụ công quốc gia hoặc qua ứng dụng của cơ quan bảo hiểm xã hội. </w:t>
            </w:r>
          </w:p>
          <w:p w14:paraId="69F088F2" w14:textId="0677C78D" w:rsidR="00DF7FD6" w:rsidRPr="00E6145F" w:rsidRDefault="008F397B" w:rsidP="005244DD">
            <w:pPr>
              <w:spacing w:before="60" w:after="60" w:line="240" w:lineRule="auto"/>
              <w:ind w:firstLine="34"/>
              <w:jc w:val="both"/>
              <w:rPr>
                <w:rFonts w:eastAsia="Calibri" w:cs="Times New Roman"/>
                <w:color w:val="000000" w:themeColor="text1"/>
                <w:sz w:val="26"/>
                <w:szCs w:val="26"/>
                <w:shd w:val="clear" w:color="auto" w:fill="FFFFFF"/>
              </w:rPr>
            </w:pPr>
            <w:r w:rsidRPr="00E6145F">
              <w:rPr>
                <w:rFonts w:cs="Times New Roman"/>
                <w:color w:val="000000" w:themeColor="text1"/>
                <w:sz w:val="26"/>
                <w:szCs w:val="26"/>
              </w:rPr>
              <w:t>- Trong thời hạn chưa hoàn thành hệ thống dịch vụ công trực tuyến và tại các đơn vị hành chính ở vùng có điều kiện kinh tế xã hội khó khăn hoặc đặc biệt khó khăn thì nộp hồ sơ trực tiếp tại bộ phận một cửa của bảo hiểm xã hội được giao nhiệm vụ tiếp nhận hoặc gửi qua dịch vụ bưu chính công ích đến bảo hiểm xã hội được giao nhiệm vụ tiếp nhận.</w:t>
            </w:r>
          </w:p>
        </w:tc>
        <w:tc>
          <w:tcPr>
            <w:tcW w:w="1134" w:type="dxa"/>
            <w:vAlign w:val="center"/>
          </w:tcPr>
          <w:p w14:paraId="4BC2A91E" w14:textId="64299D00" w:rsidR="00DF7FD6" w:rsidRPr="00E6145F" w:rsidRDefault="00415BCF" w:rsidP="00E53B95">
            <w:pPr>
              <w:spacing w:after="0" w:line="240" w:lineRule="auto"/>
              <w:jc w:val="center"/>
              <w:rPr>
                <w:rFonts w:eastAsia="Calibri" w:cs="Times New Roman"/>
                <w:color w:val="000000" w:themeColor="text1"/>
                <w:sz w:val="26"/>
                <w:szCs w:val="26"/>
              </w:rPr>
            </w:pPr>
            <w:r w:rsidRPr="00E6145F">
              <w:rPr>
                <w:rFonts w:eastAsia="Calibri" w:cs="Times New Roman"/>
                <w:color w:val="000000" w:themeColor="text1"/>
                <w:sz w:val="26"/>
                <w:szCs w:val="26"/>
              </w:rPr>
              <w:t>Không quy định</w:t>
            </w:r>
          </w:p>
        </w:tc>
        <w:tc>
          <w:tcPr>
            <w:tcW w:w="2693" w:type="dxa"/>
            <w:vAlign w:val="center"/>
          </w:tcPr>
          <w:p w14:paraId="3F3CC13F" w14:textId="77777777" w:rsidR="00B00675" w:rsidRPr="00E6145F" w:rsidRDefault="00D503B2" w:rsidP="005244DD">
            <w:pPr>
              <w:spacing w:before="60" w:after="60" w:line="240" w:lineRule="auto"/>
              <w:jc w:val="both"/>
              <w:rPr>
                <w:rFonts w:cs="Times New Roman"/>
                <w:color w:val="000000" w:themeColor="text1"/>
                <w:sz w:val="26"/>
                <w:szCs w:val="26"/>
              </w:rPr>
            </w:pPr>
            <w:r w:rsidRPr="00E6145F">
              <w:rPr>
                <w:rFonts w:cs="Times New Roman"/>
                <w:color w:val="000000" w:themeColor="text1"/>
                <w:sz w:val="26"/>
                <w:szCs w:val="26"/>
              </w:rPr>
              <w:t xml:space="preserve">- Luật Bảo hiểm y tế số 25/2008/QH12 ngày 14/11/2008 của Quốc hội; Luật số 46/2014/QH13 ngày 13/2014 của Quốc hội sửa đổi, bổ sung một số điều của Luật Bảo hiểm y tế; Luật số 51/2024/QH15 ngày 27/11/2024 của Quốc hội sửa đổi, bổ sung một số điều của Luật Bảo hiểm y tế. </w:t>
            </w:r>
          </w:p>
          <w:p w14:paraId="05DED1BF" w14:textId="6C7A2A4C" w:rsidR="00DF7FD6" w:rsidRPr="00E6145F" w:rsidRDefault="00D503B2" w:rsidP="00F8541F">
            <w:pPr>
              <w:spacing w:before="60" w:after="60" w:line="240" w:lineRule="auto"/>
              <w:jc w:val="both"/>
              <w:rPr>
                <w:rFonts w:eastAsia="Calibri" w:cs="Times New Roman"/>
                <w:color w:val="000000" w:themeColor="text1"/>
                <w:sz w:val="26"/>
                <w:szCs w:val="26"/>
              </w:rPr>
            </w:pPr>
            <w:r w:rsidRPr="00E6145F">
              <w:rPr>
                <w:rFonts w:cs="Times New Roman"/>
                <w:color w:val="000000" w:themeColor="text1"/>
                <w:sz w:val="26"/>
                <w:szCs w:val="26"/>
              </w:rPr>
              <w:t>- Nghị định số</w:t>
            </w:r>
            <w:r w:rsidR="00F8541F">
              <w:rPr>
                <w:rFonts w:cs="Times New Roman"/>
                <w:color w:val="000000" w:themeColor="text1"/>
                <w:sz w:val="26"/>
                <w:szCs w:val="26"/>
              </w:rPr>
              <w:t xml:space="preserve"> 188/2025/NĐ-CP ngày 09</w:t>
            </w:r>
            <w:r w:rsidR="00B00675" w:rsidRPr="00E6145F">
              <w:rPr>
                <w:rFonts w:cs="Times New Roman"/>
                <w:color w:val="000000" w:themeColor="text1"/>
                <w:sz w:val="26"/>
                <w:szCs w:val="26"/>
              </w:rPr>
              <w:t>/</w:t>
            </w:r>
            <w:r w:rsidR="00F8541F">
              <w:rPr>
                <w:rFonts w:cs="Times New Roman"/>
                <w:color w:val="000000" w:themeColor="text1"/>
                <w:sz w:val="26"/>
                <w:szCs w:val="26"/>
              </w:rPr>
              <w:t>6</w:t>
            </w:r>
            <w:r w:rsidR="00B00675" w:rsidRPr="00E6145F">
              <w:rPr>
                <w:rFonts w:cs="Times New Roman"/>
                <w:color w:val="000000" w:themeColor="text1"/>
                <w:sz w:val="26"/>
                <w:szCs w:val="26"/>
              </w:rPr>
              <w:t>/</w:t>
            </w:r>
            <w:r w:rsidRPr="00E6145F">
              <w:rPr>
                <w:rFonts w:cs="Times New Roman"/>
                <w:color w:val="000000" w:themeColor="text1"/>
                <w:sz w:val="26"/>
                <w:szCs w:val="26"/>
              </w:rPr>
              <w:t>2025 của Chính phủ</w:t>
            </w:r>
            <w:r w:rsidR="00B00675" w:rsidRPr="00E6145F">
              <w:rPr>
                <w:rFonts w:cs="Times New Roman"/>
                <w:color w:val="000000" w:themeColor="text1"/>
                <w:sz w:val="26"/>
                <w:szCs w:val="26"/>
              </w:rPr>
              <w:t>.</w:t>
            </w:r>
          </w:p>
        </w:tc>
      </w:tr>
      <w:tr w:rsidR="00E6145F" w:rsidRPr="00E6145F" w14:paraId="2E54B138" w14:textId="77777777" w:rsidTr="00185109">
        <w:trPr>
          <w:trHeight w:val="8838"/>
        </w:trPr>
        <w:tc>
          <w:tcPr>
            <w:tcW w:w="562" w:type="dxa"/>
            <w:vAlign w:val="center"/>
          </w:tcPr>
          <w:p w14:paraId="4D6D5328" w14:textId="5E82E4B1" w:rsidR="00DF7FD6" w:rsidRPr="00E6145F" w:rsidRDefault="00BE7855" w:rsidP="00C2155F">
            <w:pPr>
              <w:pStyle w:val="ListParagraph"/>
              <w:spacing w:after="0" w:line="240" w:lineRule="auto"/>
              <w:ind w:left="0"/>
              <w:jc w:val="center"/>
              <w:rPr>
                <w:rFonts w:eastAsia="Calibri" w:cs="Times New Roman"/>
                <w:bCs/>
                <w:color w:val="000000" w:themeColor="text1"/>
                <w:sz w:val="26"/>
                <w:szCs w:val="26"/>
              </w:rPr>
            </w:pPr>
            <w:r>
              <w:rPr>
                <w:rFonts w:eastAsia="Calibri" w:cs="Times New Roman"/>
                <w:bCs/>
                <w:color w:val="000000" w:themeColor="text1"/>
                <w:sz w:val="26"/>
                <w:szCs w:val="26"/>
              </w:rPr>
              <w:t>0</w:t>
            </w:r>
            <w:r w:rsidR="00C2155F">
              <w:rPr>
                <w:rFonts w:eastAsia="Calibri" w:cs="Times New Roman"/>
                <w:bCs/>
                <w:color w:val="000000" w:themeColor="text1"/>
                <w:sz w:val="26"/>
                <w:szCs w:val="26"/>
              </w:rPr>
              <w:t>4</w:t>
            </w:r>
          </w:p>
        </w:tc>
        <w:tc>
          <w:tcPr>
            <w:tcW w:w="2410" w:type="dxa"/>
            <w:shd w:val="clear" w:color="auto" w:fill="FFFFFF"/>
            <w:vAlign w:val="center"/>
          </w:tcPr>
          <w:p w14:paraId="7432930E" w14:textId="77777777" w:rsidR="00DF7FD6" w:rsidRPr="00E6145F" w:rsidRDefault="00DF7FD6" w:rsidP="00E53B95">
            <w:pPr>
              <w:pStyle w:val="Heading1"/>
              <w:shd w:val="clear" w:color="auto" w:fill="FFFFFF"/>
              <w:spacing w:before="0" w:after="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Ký phụ lục hợp đồng khám bệnh, chữa bệnh bảo hiểm y tế</w:t>
            </w:r>
          </w:p>
          <w:p w14:paraId="761BF840" w14:textId="1F03DBC7" w:rsidR="00D616F6" w:rsidRPr="00E6145F" w:rsidRDefault="00D616F6" w:rsidP="00E53B95">
            <w:pPr>
              <w:spacing w:after="0" w:line="240" w:lineRule="auto"/>
              <w:jc w:val="center"/>
              <w:rPr>
                <w:rFonts w:cs="Times New Roman"/>
                <w:color w:val="000000" w:themeColor="text1"/>
                <w:sz w:val="26"/>
                <w:szCs w:val="26"/>
              </w:rPr>
            </w:pPr>
            <w:r w:rsidRPr="00E6145F">
              <w:rPr>
                <w:rFonts w:cs="Times New Roman"/>
                <w:color w:val="000000" w:themeColor="text1"/>
                <w:sz w:val="26"/>
                <w:szCs w:val="26"/>
              </w:rPr>
              <w:t>(</w:t>
            </w:r>
            <w:bookmarkStart w:id="3" w:name="_Hlk212817740"/>
            <w:r w:rsidRPr="00E6145F">
              <w:rPr>
                <w:rFonts w:cs="Times New Roman"/>
                <w:color w:val="000000" w:themeColor="text1"/>
                <w:sz w:val="26"/>
                <w:szCs w:val="26"/>
                <w:lang w:val="vi-VN"/>
              </w:rPr>
              <w:t>1.014139</w:t>
            </w:r>
            <w:bookmarkEnd w:id="3"/>
            <w:r w:rsidRPr="00E6145F">
              <w:rPr>
                <w:rFonts w:cs="Times New Roman"/>
                <w:color w:val="000000" w:themeColor="text1"/>
                <w:sz w:val="26"/>
                <w:szCs w:val="26"/>
              </w:rPr>
              <w:t>)</w:t>
            </w:r>
          </w:p>
        </w:tc>
        <w:tc>
          <w:tcPr>
            <w:tcW w:w="3940" w:type="dxa"/>
            <w:gridSpan w:val="2"/>
            <w:vAlign w:val="center"/>
          </w:tcPr>
          <w:p w14:paraId="66B48F80" w14:textId="77777777" w:rsidR="00DF7FD6" w:rsidRPr="00E6145F" w:rsidRDefault="00BE3B84"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Trường hợp ký phụ lục hợp đồng: 05 ngày làm việc kể từ ngày nhận được hồ sơ</w:t>
            </w:r>
          </w:p>
          <w:p w14:paraId="5C58380F" w14:textId="77777777" w:rsidR="00BE3B84" w:rsidRPr="00E6145F" w:rsidRDefault="00BE3B84"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Trường hợp thông báo theo quy định:</w:t>
            </w:r>
          </w:p>
          <w:p w14:paraId="7AFADB52" w14:textId="77777777" w:rsidR="00AF54B4" w:rsidRPr="00E6145F" w:rsidRDefault="00AF54B4"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+ 05 ngày làm việc kể từ ngày nhận được văn bản thông báo của cơ sở khám bệnh, chữa bệnh</w:t>
            </w:r>
          </w:p>
          <w:p w14:paraId="0D6BBDDD" w14:textId="77777777" w:rsidR="00AF54B4" w:rsidRDefault="00AF54B4" w:rsidP="005244DD">
            <w:pPr>
              <w:pStyle w:val="Heading1"/>
              <w:shd w:val="clear" w:color="auto" w:fill="FFFFFF"/>
              <w:spacing w:before="60" w:after="60" w:line="240" w:lineRule="auto"/>
              <w:jc w:val="both"/>
              <w:rPr>
                <w:rFonts w:ascii="Times New Roman" w:hAnsi="Times New Roman" w:cs="Times New Roman"/>
                <w:color w:val="000000" w:themeColor="text1"/>
                <w:spacing w:val="-6"/>
                <w:sz w:val="26"/>
                <w:szCs w:val="26"/>
              </w:rPr>
            </w:pPr>
            <w:r w:rsidRPr="00E6145F">
              <w:rPr>
                <w:rFonts w:ascii="Times New Roman" w:hAnsi="Times New Roman" w:cs="Times New Roman"/>
                <w:color w:val="000000" w:themeColor="text1"/>
                <w:spacing w:val="-6"/>
                <w:sz w:val="26"/>
                <w:szCs w:val="26"/>
              </w:rPr>
              <w:t>+ Tối đa không quá 15 ngày kể từ ngày nhận được văn bản phản hồi có ý kiến của cơ quan bảo hiểm xã hội, cơ sở khám bệnh, chữa bệnh có trách nhiệm gửi văn bản trả lời các ý kiến của cơ quan bảo hiểm xã hội</w:t>
            </w:r>
          </w:p>
          <w:p w14:paraId="3B138C2C" w14:textId="77777777" w:rsidR="006D2286" w:rsidRDefault="006D2286" w:rsidP="005244DD">
            <w:pPr>
              <w:spacing w:before="60" w:after="60"/>
            </w:pPr>
          </w:p>
          <w:p w14:paraId="2A0F9D79" w14:textId="4B273B1C" w:rsidR="006D2286" w:rsidRPr="006D2286" w:rsidRDefault="006D2286" w:rsidP="005244DD">
            <w:pPr>
              <w:spacing w:before="60" w:after="60" w:line="330" w:lineRule="exact"/>
              <w:ind w:firstLine="720"/>
              <w:jc w:val="both"/>
            </w:pPr>
          </w:p>
        </w:tc>
        <w:tc>
          <w:tcPr>
            <w:tcW w:w="2410" w:type="dxa"/>
            <w:gridSpan w:val="2"/>
            <w:vAlign w:val="center"/>
          </w:tcPr>
          <w:p w14:paraId="3418E5ED" w14:textId="5445797A" w:rsidR="00DF7FD6" w:rsidRPr="00E6145F" w:rsidRDefault="008965D1" w:rsidP="005244DD">
            <w:pPr>
              <w:spacing w:before="60" w:after="60" w:line="240" w:lineRule="auto"/>
              <w:jc w:val="both"/>
              <w:rPr>
                <w:rFonts w:eastAsia="Calibri" w:cs="Times New Roman"/>
                <w:b/>
                <w:color w:val="000000" w:themeColor="text1"/>
                <w:sz w:val="26"/>
                <w:szCs w:val="26"/>
              </w:rPr>
            </w:pPr>
            <w:r w:rsidRPr="00E6145F">
              <w:rPr>
                <w:rFonts w:eastAsia="Calibri" w:cs="Times New Roman"/>
                <w:b/>
                <w:color w:val="000000" w:themeColor="text1"/>
                <w:sz w:val="26"/>
                <w:szCs w:val="26"/>
              </w:rPr>
              <w:t>Cơ quan, đơn vị tiếp nh</w:t>
            </w:r>
            <w:r>
              <w:rPr>
                <w:rFonts w:eastAsia="Calibri" w:cs="Times New Roman"/>
                <w:b/>
                <w:color w:val="000000" w:themeColor="text1"/>
                <w:sz w:val="26"/>
                <w:szCs w:val="26"/>
              </w:rPr>
              <w:t>ận, thực hiện</w:t>
            </w:r>
            <w:r w:rsidRPr="00E6145F">
              <w:rPr>
                <w:rFonts w:eastAsia="Calibri" w:cs="Times New Roman"/>
                <w:b/>
                <w:color w:val="000000" w:themeColor="text1"/>
                <w:sz w:val="26"/>
                <w:szCs w:val="26"/>
              </w:rPr>
              <w:t xml:space="preserve"> và trả kết quả:</w:t>
            </w:r>
            <w:r>
              <w:rPr>
                <w:rFonts w:eastAsia="Calibri" w:cs="Times New Roman"/>
                <w:b/>
                <w:color w:val="000000" w:themeColor="text1"/>
                <w:sz w:val="26"/>
                <w:szCs w:val="26"/>
              </w:rPr>
              <w:t xml:space="preserve"> </w:t>
            </w:r>
            <w:r w:rsidR="00D11BC6">
              <w:rPr>
                <w:rFonts w:cs="Times New Roman"/>
                <w:color w:val="000000" w:themeColor="text1"/>
                <w:sz w:val="26"/>
                <w:szCs w:val="26"/>
              </w:rPr>
              <w:t>Cơ quan B</w:t>
            </w:r>
            <w:r w:rsidRPr="00E6145F">
              <w:rPr>
                <w:rFonts w:cs="Times New Roman"/>
                <w:color w:val="000000" w:themeColor="text1"/>
                <w:sz w:val="26"/>
                <w:szCs w:val="26"/>
              </w:rPr>
              <w:t>ảo hiểm xã hội và cơ sở khám bệnh, chữa bệnh.</w:t>
            </w:r>
          </w:p>
        </w:tc>
        <w:tc>
          <w:tcPr>
            <w:tcW w:w="2155" w:type="dxa"/>
            <w:vAlign w:val="center"/>
          </w:tcPr>
          <w:p w14:paraId="57766C38" w14:textId="77777777" w:rsidR="006D3778" w:rsidRPr="00E6145F" w:rsidRDefault="006D3778" w:rsidP="005244DD">
            <w:pPr>
              <w:spacing w:before="60" w:after="60" w:line="240" w:lineRule="auto"/>
              <w:ind w:firstLine="34"/>
              <w:jc w:val="both"/>
              <w:rPr>
                <w:rFonts w:cs="Times New Roman"/>
                <w:color w:val="000000" w:themeColor="text1"/>
                <w:sz w:val="26"/>
                <w:szCs w:val="26"/>
              </w:rPr>
            </w:pPr>
            <w:r w:rsidRPr="00E6145F">
              <w:rPr>
                <w:rFonts w:cs="Times New Roman"/>
                <w:color w:val="000000" w:themeColor="text1"/>
                <w:sz w:val="26"/>
                <w:szCs w:val="26"/>
              </w:rPr>
              <w:t xml:space="preserve">- Hồ sơ được nộp trên Cổng dịch vụ công quốc gia hoặc qua ứng dụng của cơ quan bảo hiểm xã hội. </w:t>
            </w:r>
          </w:p>
          <w:p w14:paraId="3A398D10" w14:textId="7C07EF5B" w:rsidR="00DF7FD6" w:rsidRPr="00E6145F" w:rsidRDefault="006D3778" w:rsidP="005244DD">
            <w:pPr>
              <w:spacing w:before="60" w:after="60" w:line="240" w:lineRule="auto"/>
              <w:ind w:firstLine="34"/>
              <w:jc w:val="both"/>
              <w:rPr>
                <w:rFonts w:eastAsia="Calibri" w:cs="Times New Roman"/>
                <w:color w:val="000000" w:themeColor="text1"/>
                <w:sz w:val="26"/>
                <w:szCs w:val="26"/>
                <w:shd w:val="clear" w:color="auto" w:fill="FFFFFF"/>
              </w:rPr>
            </w:pPr>
            <w:r w:rsidRPr="00E6145F">
              <w:rPr>
                <w:rFonts w:cs="Times New Roman"/>
                <w:color w:val="000000" w:themeColor="text1"/>
                <w:sz w:val="26"/>
                <w:szCs w:val="26"/>
              </w:rPr>
              <w:t>- Trong thời hạn chưa hoàn thành hệ thống dịch vụ công trực tuyến và tại các đơn vị hành chính ở vùng có điều kiện kinh tế xã hội khó khăn hoặc đặc biệt khó khăn thì nộp hồ sơ trực tiếp tại bộ phận một cửa của cơ quan bảo hiểm xã hội được giao nhiệm vụ tiếp nhận hoặc gửi qua dịch vụ bưu chính công ích đến cơ quan bảo hiểm xã hội được giao nhiệm vụ tiếp nhận.</w:t>
            </w:r>
          </w:p>
        </w:tc>
        <w:tc>
          <w:tcPr>
            <w:tcW w:w="1134" w:type="dxa"/>
            <w:vAlign w:val="center"/>
          </w:tcPr>
          <w:p w14:paraId="4CE58218" w14:textId="7C2B123A" w:rsidR="00DF7FD6" w:rsidRPr="00E6145F" w:rsidRDefault="009F5B3E" w:rsidP="005244DD">
            <w:pPr>
              <w:spacing w:before="60" w:after="60" w:line="240" w:lineRule="auto"/>
              <w:jc w:val="center"/>
              <w:rPr>
                <w:rFonts w:eastAsia="Calibri" w:cs="Times New Roman"/>
                <w:color w:val="000000" w:themeColor="text1"/>
                <w:sz w:val="26"/>
                <w:szCs w:val="26"/>
              </w:rPr>
            </w:pPr>
            <w:r w:rsidRPr="00E6145F">
              <w:rPr>
                <w:rFonts w:eastAsia="Calibri" w:cs="Times New Roman"/>
                <w:color w:val="000000" w:themeColor="text1"/>
                <w:sz w:val="26"/>
                <w:szCs w:val="26"/>
              </w:rPr>
              <w:t>Không quy định</w:t>
            </w:r>
          </w:p>
        </w:tc>
        <w:tc>
          <w:tcPr>
            <w:tcW w:w="2693" w:type="dxa"/>
            <w:vAlign w:val="center"/>
          </w:tcPr>
          <w:p w14:paraId="5EA6E977" w14:textId="77777777" w:rsidR="00B00675" w:rsidRPr="00E6145F" w:rsidRDefault="009F5B3E" w:rsidP="005244DD">
            <w:pPr>
              <w:spacing w:before="60" w:after="60" w:line="240" w:lineRule="auto"/>
              <w:jc w:val="both"/>
              <w:rPr>
                <w:rFonts w:cs="Times New Roman"/>
                <w:color w:val="000000" w:themeColor="text1"/>
                <w:sz w:val="26"/>
                <w:szCs w:val="26"/>
              </w:rPr>
            </w:pPr>
            <w:r w:rsidRPr="00E6145F">
              <w:rPr>
                <w:rFonts w:cs="Times New Roman"/>
                <w:color w:val="000000" w:themeColor="text1"/>
                <w:sz w:val="26"/>
                <w:szCs w:val="26"/>
              </w:rPr>
              <w:t xml:space="preserve">- Luật Bảo hiểm y tế số 25/2008/QH12 ngày 14/11/2008 của Quốc hội; Luật số 46/2014/QH13 ngày 13/2014 của Quốc hội sửa đổi, bổ sung một số điều của Luật Bảo hiểm y tế; Luật số 51/2024/QH15 ngày 27/11/2024 của Quốc hội sửa đổi, bổ sung một số điều của Luật Bảo hiểm y tế. </w:t>
            </w:r>
          </w:p>
          <w:p w14:paraId="1BBCA00C" w14:textId="25447FCE" w:rsidR="00DF7FD6" w:rsidRPr="00E6145F" w:rsidRDefault="009F5B3E" w:rsidP="00F8541F">
            <w:pPr>
              <w:spacing w:before="60" w:after="60" w:line="240" w:lineRule="auto"/>
              <w:jc w:val="both"/>
              <w:rPr>
                <w:rFonts w:eastAsia="Calibri" w:cs="Times New Roman"/>
                <w:color w:val="000000" w:themeColor="text1"/>
                <w:sz w:val="26"/>
                <w:szCs w:val="26"/>
              </w:rPr>
            </w:pPr>
            <w:r w:rsidRPr="00E6145F">
              <w:rPr>
                <w:rFonts w:cs="Times New Roman"/>
                <w:color w:val="000000" w:themeColor="text1"/>
                <w:sz w:val="26"/>
                <w:szCs w:val="26"/>
              </w:rPr>
              <w:t>- Nghị định số 188/2025/NĐ-CP ngày 0</w:t>
            </w:r>
            <w:r w:rsidR="00F8541F">
              <w:rPr>
                <w:rFonts w:cs="Times New Roman"/>
                <w:color w:val="000000" w:themeColor="text1"/>
                <w:sz w:val="26"/>
                <w:szCs w:val="26"/>
              </w:rPr>
              <w:t>9</w:t>
            </w:r>
            <w:r w:rsidR="00B00675" w:rsidRPr="00E6145F">
              <w:rPr>
                <w:rFonts w:cs="Times New Roman"/>
                <w:color w:val="000000" w:themeColor="text1"/>
                <w:sz w:val="26"/>
                <w:szCs w:val="26"/>
              </w:rPr>
              <w:t>/</w:t>
            </w:r>
            <w:r w:rsidR="00F8541F">
              <w:rPr>
                <w:rFonts w:cs="Times New Roman"/>
                <w:color w:val="000000" w:themeColor="text1"/>
                <w:sz w:val="26"/>
                <w:szCs w:val="26"/>
              </w:rPr>
              <w:t>6</w:t>
            </w:r>
            <w:r w:rsidR="00B00675" w:rsidRPr="00E6145F">
              <w:rPr>
                <w:rFonts w:cs="Times New Roman"/>
                <w:color w:val="000000" w:themeColor="text1"/>
                <w:sz w:val="26"/>
                <w:szCs w:val="26"/>
              </w:rPr>
              <w:t>/</w:t>
            </w:r>
            <w:r w:rsidRPr="00E6145F">
              <w:rPr>
                <w:rFonts w:cs="Times New Roman"/>
                <w:color w:val="000000" w:themeColor="text1"/>
                <w:sz w:val="26"/>
                <w:szCs w:val="26"/>
              </w:rPr>
              <w:t>2025 của Chính phủ</w:t>
            </w:r>
            <w:r w:rsidR="00B00675" w:rsidRPr="00E6145F">
              <w:rPr>
                <w:rFonts w:cs="Times New Roman"/>
                <w:color w:val="000000" w:themeColor="text1"/>
                <w:sz w:val="26"/>
                <w:szCs w:val="26"/>
              </w:rPr>
              <w:t>.</w:t>
            </w:r>
          </w:p>
        </w:tc>
      </w:tr>
      <w:tr w:rsidR="00AA16F8" w:rsidRPr="00E6145F" w14:paraId="221B9D1F" w14:textId="77777777" w:rsidTr="00185109">
        <w:trPr>
          <w:trHeight w:val="606"/>
        </w:trPr>
        <w:tc>
          <w:tcPr>
            <w:tcW w:w="562" w:type="dxa"/>
            <w:vAlign w:val="center"/>
          </w:tcPr>
          <w:p w14:paraId="40871D42" w14:textId="4C162C1B" w:rsidR="00DF7FD6" w:rsidRPr="00E6145F" w:rsidRDefault="00BE7855" w:rsidP="00C2155F">
            <w:pPr>
              <w:pStyle w:val="ListParagraph"/>
              <w:spacing w:after="0" w:line="240" w:lineRule="auto"/>
              <w:ind w:left="0"/>
              <w:jc w:val="center"/>
              <w:rPr>
                <w:rFonts w:eastAsia="Calibri" w:cs="Times New Roman"/>
                <w:bCs/>
                <w:color w:val="000000" w:themeColor="text1"/>
                <w:sz w:val="26"/>
                <w:szCs w:val="26"/>
              </w:rPr>
            </w:pPr>
            <w:r>
              <w:rPr>
                <w:rFonts w:eastAsia="Calibri" w:cs="Times New Roman"/>
                <w:bCs/>
                <w:color w:val="000000" w:themeColor="text1"/>
                <w:sz w:val="26"/>
                <w:szCs w:val="26"/>
              </w:rPr>
              <w:t>0</w:t>
            </w:r>
            <w:r w:rsidR="00C2155F">
              <w:rPr>
                <w:rFonts w:eastAsia="Calibri" w:cs="Times New Roman"/>
                <w:bCs/>
                <w:color w:val="000000" w:themeColor="text1"/>
                <w:sz w:val="26"/>
                <w:szCs w:val="26"/>
              </w:rPr>
              <w:t>5</w:t>
            </w:r>
          </w:p>
        </w:tc>
        <w:tc>
          <w:tcPr>
            <w:tcW w:w="2410" w:type="dxa"/>
            <w:shd w:val="clear" w:color="auto" w:fill="FFFFFF"/>
            <w:vAlign w:val="center"/>
          </w:tcPr>
          <w:p w14:paraId="1A7A3489" w14:textId="068F1144" w:rsidR="00D616F6" w:rsidRPr="00E6145F" w:rsidRDefault="008F6B1F" w:rsidP="00316327">
            <w:pPr>
              <w:spacing w:after="0" w:line="240" w:lineRule="auto"/>
              <w:jc w:val="both"/>
              <w:rPr>
                <w:rFonts w:cs="Times New Roman"/>
                <w:color w:val="000000" w:themeColor="text1"/>
                <w:sz w:val="26"/>
                <w:szCs w:val="26"/>
              </w:rPr>
            </w:pPr>
            <w:r w:rsidRPr="00E6145F">
              <w:rPr>
                <w:rFonts w:cs="Times New Roman"/>
                <w:color w:val="000000" w:themeColor="text1"/>
                <w:sz w:val="26"/>
                <w:szCs w:val="26"/>
              </w:rPr>
              <w:t>Thủ tục cấp thẻ bảo hiểm y tế (lần đầu hoặc cấp lại) hoặc điều chỉnh thông tin thẻ bảo hiểm y tế</w:t>
            </w:r>
            <w:r w:rsidR="001A6275" w:rsidRPr="00E6145F">
              <w:rPr>
                <w:rStyle w:val="FootnoteReference"/>
                <w:rFonts w:cs="Times New Roman"/>
                <w:color w:val="000000" w:themeColor="text1"/>
                <w:sz w:val="26"/>
                <w:szCs w:val="26"/>
              </w:rPr>
              <w:footnoteReference w:id="1"/>
            </w:r>
            <w:r w:rsidRPr="00E6145F">
              <w:rPr>
                <w:rFonts w:cs="Times New Roman"/>
                <w:color w:val="000000" w:themeColor="text1"/>
                <w:sz w:val="26"/>
                <w:szCs w:val="26"/>
              </w:rPr>
              <w:t xml:space="preserve"> </w:t>
            </w:r>
            <w:r w:rsidR="00D616F6" w:rsidRPr="00E6145F">
              <w:rPr>
                <w:rFonts w:cs="Times New Roman"/>
                <w:color w:val="000000" w:themeColor="text1"/>
                <w:sz w:val="26"/>
                <w:szCs w:val="26"/>
              </w:rPr>
              <w:t>(</w:t>
            </w:r>
            <w:bookmarkStart w:id="4" w:name="_Hlk212817683"/>
            <w:r w:rsidR="00D616F6" w:rsidRPr="00E6145F">
              <w:rPr>
                <w:rFonts w:cs="Times New Roman"/>
                <w:color w:val="000000" w:themeColor="text1"/>
                <w:sz w:val="26"/>
                <w:szCs w:val="26"/>
                <w:lang w:val="vi-VN"/>
              </w:rPr>
              <w:t>1.014137</w:t>
            </w:r>
            <w:bookmarkEnd w:id="4"/>
            <w:r w:rsidR="00D616F6" w:rsidRPr="00E6145F">
              <w:rPr>
                <w:rFonts w:cs="Times New Roman"/>
                <w:color w:val="000000" w:themeColor="text1"/>
                <w:sz w:val="26"/>
                <w:szCs w:val="26"/>
              </w:rPr>
              <w:t>)</w:t>
            </w:r>
          </w:p>
        </w:tc>
        <w:tc>
          <w:tcPr>
            <w:tcW w:w="3940" w:type="dxa"/>
            <w:gridSpan w:val="2"/>
            <w:vAlign w:val="center"/>
          </w:tcPr>
          <w:p w14:paraId="5D3E3127" w14:textId="5B94461F" w:rsidR="00DF7FD6" w:rsidRPr="00E6145F" w:rsidRDefault="00BE26DD" w:rsidP="00E53B95">
            <w:pPr>
              <w:spacing w:after="0" w:line="240" w:lineRule="auto"/>
              <w:jc w:val="both"/>
              <w:rPr>
                <w:rFonts w:eastAsiaTheme="majorEastAsia" w:cs="Times New Roman"/>
                <w:color w:val="000000" w:themeColor="text1"/>
                <w:spacing w:val="-6"/>
                <w:sz w:val="26"/>
                <w:szCs w:val="26"/>
              </w:rPr>
            </w:pPr>
            <w:r w:rsidRPr="00E6145F">
              <w:rPr>
                <w:rFonts w:eastAsiaTheme="majorEastAsia" w:cs="Times New Roman"/>
                <w:color w:val="000000" w:themeColor="text1"/>
                <w:spacing w:val="-6"/>
                <w:sz w:val="26"/>
                <w:szCs w:val="26"/>
              </w:rPr>
              <w:t>05 ngày làm việc kể từ ngày nhận đủ hồ sơ</w:t>
            </w:r>
          </w:p>
        </w:tc>
        <w:tc>
          <w:tcPr>
            <w:tcW w:w="2410" w:type="dxa"/>
            <w:gridSpan w:val="2"/>
            <w:vAlign w:val="center"/>
          </w:tcPr>
          <w:p w14:paraId="38F36DD3" w14:textId="6D205116" w:rsidR="00BB5CA3" w:rsidRPr="00E6145F" w:rsidRDefault="00BB5CA3" w:rsidP="005244DD">
            <w:pPr>
              <w:spacing w:before="60" w:after="60" w:line="240" w:lineRule="auto"/>
              <w:jc w:val="both"/>
              <w:rPr>
                <w:rFonts w:cs="Times New Roman"/>
                <w:b/>
                <w:bCs/>
                <w:color w:val="000000" w:themeColor="text1"/>
                <w:sz w:val="26"/>
                <w:szCs w:val="26"/>
              </w:rPr>
            </w:pPr>
            <w:r w:rsidRPr="00E6145F">
              <w:rPr>
                <w:rFonts w:cs="Times New Roman"/>
                <w:b/>
                <w:bCs/>
                <w:color w:val="000000" w:themeColor="text1"/>
                <w:sz w:val="26"/>
                <w:szCs w:val="26"/>
              </w:rPr>
              <w:t xml:space="preserve">- Cơ quan, đơn vị tiếp nhân và trả kết quả: </w:t>
            </w:r>
            <w:r w:rsidRPr="00C2155F">
              <w:rPr>
                <w:rFonts w:cs="Times New Roman"/>
                <w:color w:val="000000" w:themeColor="text1"/>
                <w:sz w:val="26"/>
                <w:szCs w:val="26"/>
              </w:rPr>
              <w:t>Trung tâm Phục vụ hành chính công cấp tỉnh, xã</w:t>
            </w:r>
            <w:r w:rsidR="00C2155F">
              <w:rPr>
                <w:rFonts w:cs="Times New Roman"/>
                <w:color w:val="000000" w:themeColor="text1"/>
                <w:sz w:val="26"/>
                <w:szCs w:val="26"/>
              </w:rPr>
              <w:t>.</w:t>
            </w:r>
          </w:p>
          <w:p w14:paraId="35F086A7" w14:textId="5172752F" w:rsidR="00DF7FD6" w:rsidRPr="00E6145F" w:rsidRDefault="00BB5CA3" w:rsidP="005244DD">
            <w:pPr>
              <w:spacing w:before="60" w:after="60" w:line="240" w:lineRule="auto"/>
              <w:jc w:val="both"/>
              <w:rPr>
                <w:rFonts w:eastAsia="Calibri" w:cs="Times New Roman"/>
                <w:b/>
                <w:color w:val="000000" w:themeColor="text1"/>
                <w:sz w:val="26"/>
                <w:szCs w:val="26"/>
              </w:rPr>
            </w:pPr>
            <w:r w:rsidRPr="00E6145F">
              <w:rPr>
                <w:rFonts w:cs="Times New Roman"/>
                <w:b/>
                <w:bCs/>
                <w:color w:val="000000" w:themeColor="text1"/>
                <w:sz w:val="26"/>
                <w:szCs w:val="26"/>
              </w:rPr>
              <w:t>- Cơ quan thực hiện</w:t>
            </w:r>
            <w:r w:rsidR="00CF3B56">
              <w:rPr>
                <w:rFonts w:cs="Times New Roman"/>
                <w:color w:val="000000" w:themeColor="text1"/>
                <w:sz w:val="26"/>
                <w:szCs w:val="26"/>
              </w:rPr>
              <w:t>: Cơ quan B</w:t>
            </w:r>
            <w:r w:rsidRPr="00E6145F">
              <w:rPr>
                <w:rFonts w:cs="Times New Roman"/>
                <w:color w:val="000000" w:themeColor="text1"/>
                <w:sz w:val="26"/>
                <w:szCs w:val="26"/>
              </w:rPr>
              <w:t>ảo hiểm xã hội</w:t>
            </w:r>
            <w:r w:rsidR="008965D1">
              <w:rPr>
                <w:rFonts w:cs="Times New Roman"/>
                <w:color w:val="000000" w:themeColor="text1"/>
                <w:sz w:val="26"/>
                <w:szCs w:val="26"/>
              </w:rPr>
              <w:t>.</w:t>
            </w:r>
          </w:p>
        </w:tc>
        <w:tc>
          <w:tcPr>
            <w:tcW w:w="2155" w:type="dxa"/>
            <w:vAlign w:val="center"/>
          </w:tcPr>
          <w:p w14:paraId="676A7435" w14:textId="02EEE194" w:rsidR="00B5366E" w:rsidRPr="00E6145F" w:rsidRDefault="00AA16F8" w:rsidP="005244DD">
            <w:pPr>
              <w:spacing w:before="60" w:after="60" w:line="240" w:lineRule="auto"/>
              <w:ind w:firstLine="34"/>
              <w:jc w:val="center"/>
              <w:rPr>
                <w:rFonts w:eastAsia="Calibri" w:cs="Times New Roman"/>
                <w:color w:val="000000" w:themeColor="text1"/>
                <w:sz w:val="26"/>
                <w:szCs w:val="26"/>
                <w:shd w:val="clear" w:color="auto" w:fill="FFFFFF"/>
              </w:rPr>
            </w:pPr>
            <w:r w:rsidRPr="00E6145F">
              <w:rPr>
                <w:rFonts w:eastAsia="Calibri" w:cs="Times New Roman"/>
                <w:color w:val="000000" w:themeColor="text1"/>
                <w:sz w:val="26"/>
                <w:szCs w:val="26"/>
                <w:shd w:val="clear" w:color="auto" w:fill="FFFFFF"/>
              </w:rPr>
              <w:t>Trực tuyến, trực tiếp và bưu chính công ích</w:t>
            </w:r>
          </w:p>
        </w:tc>
        <w:tc>
          <w:tcPr>
            <w:tcW w:w="1134" w:type="dxa"/>
            <w:vAlign w:val="center"/>
          </w:tcPr>
          <w:p w14:paraId="79F8F04A" w14:textId="54C0095D" w:rsidR="00DF7FD6" w:rsidRPr="00E6145F" w:rsidRDefault="00BE26DD" w:rsidP="005244DD">
            <w:pPr>
              <w:spacing w:before="60" w:after="60" w:line="240" w:lineRule="auto"/>
              <w:jc w:val="center"/>
              <w:rPr>
                <w:rFonts w:eastAsia="Calibri" w:cs="Times New Roman"/>
                <w:color w:val="000000" w:themeColor="text1"/>
                <w:sz w:val="26"/>
                <w:szCs w:val="26"/>
              </w:rPr>
            </w:pPr>
            <w:r w:rsidRPr="00E6145F">
              <w:rPr>
                <w:rFonts w:eastAsia="Calibri" w:cs="Times New Roman"/>
                <w:color w:val="000000" w:themeColor="text1"/>
                <w:sz w:val="26"/>
                <w:szCs w:val="26"/>
              </w:rPr>
              <w:t>Không quy định</w:t>
            </w:r>
          </w:p>
        </w:tc>
        <w:tc>
          <w:tcPr>
            <w:tcW w:w="2693" w:type="dxa"/>
            <w:vAlign w:val="center"/>
          </w:tcPr>
          <w:p w14:paraId="03F55D77" w14:textId="77777777" w:rsidR="00B00675" w:rsidRPr="00E6145F" w:rsidRDefault="00BE26DD" w:rsidP="005244DD">
            <w:pPr>
              <w:spacing w:before="60" w:after="60" w:line="240" w:lineRule="auto"/>
              <w:jc w:val="both"/>
              <w:rPr>
                <w:rFonts w:cs="Times New Roman"/>
                <w:color w:val="000000" w:themeColor="text1"/>
                <w:sz w:val="26"/>
                <w:szCs w:val="26"/>
              </w:rPr>
            </w:pPr>
            <w:r w:rsidRPr="00E6145F">
              <w:rPr>
                <w:rFonts w:cs="Times New Roman"/>
                <w:color w:val="000000" w:themeColor="text1"/>
                <w:sz w:val="26"/>
                <w:szCs w:val="26"/>
              </w:rPr>
              <w:t xml:space="preserve">- Luật Bảo hiểm y tế số 25/2008/QH12 ngày 14/11/2008 của Quốc hội; Luật số 46/2014/QH13 ngày 13/2014 của Quốc hội sửa đổi, bổ sung một số điều của Luật Bảo hiểm y tế; Luật số 51/2024/QH15 ngày 27/11/2024 của Quốc hội sửa đổi, bổ sung một số điều của Luật Bảo hiểm y tế. </w:t>
            </w:r>
          </w:p>
          <w:p w14:paraId="5E273B52" w14:textId="018F8F54" w:rsidR="00DF7FD6" w:rsidRPr="00E6145F" w:rsidRDefault="00BE26DD" w:rsidP="00F8541F">
            <w:pPr>
              <w:spacing w:before="60" w:after="60" w:line="240" w:lineRule="auto"/>
              <w:jc w:val="both"/>
              <w:rPr>
                <w:rFonts w:eastAsia="Calibri" w:cs="Times New Roman"/>
                <w:color w:val="000000" w:themeColor="text1"/>
                <w:sz w:val="26"/>
                <w:szCs w:val="26"/>
              </w:rPr>
            </w:pPr>
            <w:r w:rsidRPr="00E6145F">
              <w:rPr>
                <w:rFonts w:cs="Times New Roman"/>
                <w:color w:val="000000" w:themeColor="text1"/>
                <w:sz w:val="26"/>
                <w:szCs w:val="26"/>
              </w:rPr>
              <w:t>- Nghị định số</w:t>
            </w:r>
            <w:r w:rsidR="00F8541F">
              <w:rPr>
                <w:rFonts w:cs="Times New Roman"/>
                <w:color w:val="000000" w:themeColor="text1"/>
                <w:sz w:val="26"/>
                <w:szCs w:val="26"/>
              </w:rPr>
              <w:t xml:space="preserve"> 188/2025/NĐ-CP ngày 09</w:t>
            </w:r>
            <w:r w:rsidR="00B00675" w:rsidRPr="00E6145F">
              <w:rPr>
                <w:rFonts w:cs="Times New Roman"/>
                <w:color w:val="000000" w:themeColor="text1"/>
                <w:sz w:val="26"/>
                <w:szCs w:val="26"/>
              </w:rPr>
              <w:t>/</w:t>
            </w:r>
            <w:r w:rsidR="00F8541F">
              <w:rPr>
                <w:rFonts w:cs="Times New Roman"/>
                <w:color w:val="000000" w:themeColor="text1"/>
                <w:sz w:val="26"/>
                <w:szCs w:val="26"/>
              </w:rPr>
              <w:t>6</w:t>
            </w:r>
            <w:r w:rsidR="00B00675" w:rsidRPr="00E6145F">
              <w:rPr>
                <w:rFonts w:cs="Times New Roman"/>
                <w:color w:val="000000" w:themeColor="text1"/>
                <w:sz w:val="26"/>
                <w:szCs w:val="26"/>
              </w:rPr>
              <w:t>/</w:t>
            </w:r>
            <w:r w:rsidRPr="00E6145F">
              <w:rPr>
                <w:rFonts w:cs="Times New Roman"/>
                <w:color w:val="000000" w:themeColor="text1"/>
                <w:sz w:val="26"/>
                <w:szCs w:val="26"/>
              </w:rPr>
              <w:t>2025 của Chính phủ</w:t>
            </w:r>
            <w:r w:rsidR="00B00675" w:rsidRPr="00E6145F">
              <w:rPr>
                <w:rFonts w:cs="Times New Roman"/>
                <w:color w:val="000000" w:themeColor="text1"/>
                <w:sz w:val="26"/>
                <w:szCs w:val="26"/>
              </w:rPr>
              <w:t>.</w:t>
            </w:r>
          </w:p>
        </w:tc>
      </w:tr>
    </w:tbl>
    <w:p w14:paraId="2E7381E3" w14:textId="155DECA3" w:rsidR="0053636E" w:rsidRPr="00E6145F" w:rsidRDefault="005244DD">
      <w:pPr>
        <w:rPr>
          <w:rFonts w:cs="Times New Roman"/>
          <w:color w:val="000000" w:themeColor="text1"/>
          <w:sz w:val="26"/>
          <w:szCs w:val="26"/>
        </w:rPr>
      </w:pPr>
      <w:r>
        <w:rPr>
          <w:rFonts w:cs="Times New Roman"/>
          <w:color w:val="000000" w:themeColor="text1"/>
          <w:sz w:val="26"/>
          <w:szCs w:val="26"/>
        </w:rPr>
        <w:t xml:space="preserve">                                                                       ___________________________________________</w:t>
      </w:r>
    </w:p>
    <w:sectPr w:rsidR="0053636E" w:rsidRPr="00E6145F" w:rsidSect="0047142E">
      <w:headerReference w:type="default" r:id="rId8"/>
      <w:pgSz w:w="16840" w:h="11907" w:orient="landscape" w:code="9"/>
      <w:pgMar w:top="1134" w:right="851" w:bottom="113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97E1C" w14:textId="77777777" w:rsidR="001B5750" w:rsidRDefault="001B5750" w:rsidP="001A6275">
      <w:pPr>
        <w:spacing w:after="0" w:line="240" w:lineRule="auto"/>
      </w:pPr>
      <w:r>
        <w:separator/>
      </w:r>
    </w:p>
  </w:endnote>
  <w:endnote w:type="continuationSeparator" w:id="0">
    <w:p w14:paraId="5ABCF072" w14:textId="77777777" w:rsidR="001B5750" w:rsidRDefault="001B5750" w:rsidP="001A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等线 Light">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1AF17" w14:textId="77777777" w:rsidR="001B5750" w:rsidRDefault="001B5750" w:rsidP="001A6275">
      <w:pPr>
        <w:spacing w:after="0" w:line="240" w:lineRule="auto"/>
      </w:pPr>
      <w:r>
        <w:separator/>
      </w:r>
    </w:p>
  </w:footnote>
  <w:footnote w:type="continuationSeparator" w:id="0">
    <w:p w14:paraId="266BE207" w14:textId="77777777" w:rsidR="001B5750" w:rsidRDefault="001B5750" w:rsidP="001A6275">
      <w:pPr>
        <w:spacing w:after="0" w:line="240" w:lineRule="auto"/>
      </w:pPr>
      <w:r>
        <w:continuationSeparator/>
      </w:r>
    </w:p>
  </w:footnote>
  <w:footnote w:id="1">
    <w:p w14:paraId="399606FD" w14:textId="7339AF06" w:rsidR="001A6275" w:rsidRDefault="001A6275">
      <w:pPr>
        <w:pStyle w:val="FootnoteText"/>
      </w:pPr>
      <w:r>
        <w:rPr>
          <w:rStyle w:val="FootnoteReference"/>
        </w:rPr>
        <w:footnoteRef/>
      </w:r>
      <w:r>
        <w:t xml:space="preserve"> Tên TTHC trên Cổng dịch vụ công quốc gia là: Thủ tục cấp thẻ bảo hiểm y tế</w:t>
      </w:r>
      <w:r w:rsidR="00A257C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2202616"/>
      <w:docPartObj>
        <w:docPartGallery w:val="Page Numbers (Top of Page)"/>
        <w:docPartUnique/>
      </w:docPartObj>
    </w:sdtPr>
    <w:sdtEndPr>
      <w:rPr>
        <w:noProof/>
      </w:rPr>
    </w:sdtEndPr>
    <w:sdtContent>
      <w:p w14:paraId="5089BBC6" w14:textId="1C19B32F" w:rsidR="00F11B2D" w:rsidRDefault="00F11B2D">
        <w:pPr>
          <w:pStyle w:val="Header"/>
          <w:jc w:val="center"/>
        </w:pPr>
        <w:r>
          <w:fldChar w:fldCharType="begin"/>
        </w:r>
        <w:r>
          <w:instrText xml:space="preserve"> PAGE   \* MERGEFORMAT </w:instrText>
        </w:r>
        <w:r>
          <w:fldChar w:fldCharType="separate"/>
        </w:r>
        <w:r w:rsidR="00F8541F">
          <w:rPr>
            <w:noProof/>
          </w:rPr>
          <w:t>5</w:t>
        </w:r>
        <w:r>
          <w:rPr>
            <w:noProof/>
          </w:rPr>
          <w:fldChar w:fldCharType="end"/>
        </w:r>
      </w:p>
    </w:sdtContent>
  </w:sdt>
  <w:p w14:paraId="1D026550" w14:textId="77777777" w:rsidR="00F11B2D" w:rsidRDefault="00F11B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51AAB"/>
    <w:multiLevelType w:val="hybridMultilevel"/>
    <w:tmpl w:val="A924689C"/>
    <w:lvl w:ilvl="0" w:tplc="E778A3D6">
      <w:start w:val="1"/>
      <w:numFmt w:val="decimal"/>
      <w:lvlText w:val="%1"/>
      <w:lvlJc w:val="center"/>
      <w:pPr>
        <w:ind w:left="10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C485A"/>
    <w:multiLevelType w:val="hybridMultilevel"/>
    <w:tmpl w:val="E346AEFE"/>
    <w:lvl w:ilvl="0" w:tplc="9DBCCE0A">
      <w:start w:val="1"/>
      <w:numFmt w:val="bullet"/>
      <w:lvlText w:val="-"/>
      <w:lvlJc w:val="left"/>
      <w:pPr>
        <w:ind w:left="720" w:hanging="360"/>
      </w:pPr>
      <w:rPr>
        <w:rFonts w:ascii="Arial" w:eastAsiaTheme="minorHAnsi" w:hAnsi="Arial" w:cs="Arial"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7738D9"/>
    <w:multiLevelType w:val="hybridMultilevel"/>
    <w:tmpl w:val="EB1C3F58"/>
    <w:lvl w:ilvl="0" w:tplc="2D429524">
      <w:start w:val="1"/>
      <w:numFmt w:val="decimal"/>
      <w:lvlText w:val="%1"/>
      <w:lvlJc w:val="center"/>
      <w:pPr>
        <w:ind w:left="10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6D6456"/>
    <w:multiLevelType w:val="hybridMultilevel"/>
    <w:tmpl w:val="2BD63CE2"/>
    <w:lvl w:ilvl="0" w:tplc="DF9E3162">
      <w:start w:val="1"/>
      <w:numFmt w:val="decimal"/>
      <w:lvlText w:val="%1"/>
      <w:lvlJc w:val="center"/>
      <w:pPr>
        <w:ind w:left="104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CF5253"/>
    <w:multiLevelType w:val="hybridMultilevel"/>
    <w:tmpl w:val="06A8AF70"/>
    <w:lvl w:ilvl="0" w:tplc="DF9E316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C960B8"/>
    <w:multiLevelType w:val="hybridMultilevel"/>
    <w:tmpl w:val="A91ACF4A"/>
    <w:lvl w:ilvl="0" w:tplc="5A469604">
      <w:start w:val="1"/>
      <w:numFmt w:val="bullet"/>
      <w:lvlText w:val="-"/>
      <w:lvlJc w:val="left"/>
      <w:pPr>
        <w:ind w:left="720" w:hanging="360"/>
      </w:pPr>
      <w:rPr>
        <w:rFonts w:ascii="Arial" w:eastAsiaTheme="minorHAnsi" w:hAnsi="Arial" w:cs="Arial" w:hint="default"/>
        <w:color w:val="000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2017742">
    <w:abstractNumId w:val="2"/>
  </w:num>
  <w:num w:numId="2" w16cid:durableId="564804300">
    <w:abstractNumId w:val="3"/>
  </w:num>
  <w:num w:numId="3" w16cid:durableId="302931073">
    <w:abstractNumId w:val="0"/>
  </w:num>
  <w:num w:numId="4" w16cid:durableId="674504067">
    <w:abstractNumId w:val="4"/>
  </w:num>
  <w:num w:numId="5" w16cid:durableId="202375845">
    <w:abstractNumId w:val="1"/>
  </w:num>
  <w:num w:numId="6" w16cid:durableId="5814512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379D"/>
    <w:rsid w:val="00032E79"/>
    <w:rsid w:val="000449DF"/>
    <w:rsid w:val="00051BF7"/>
    <w:rsid w:val="00082A6E"/>
    <w:rsid w:val="000A5D36"/>
    <w:rsid w:val="000B75C4"/>
    <w:rsid w:val="000C2530"/>
    <w:rsid w:val="000E11BA"/>
    <w:rsid w:val="000E437C"/>
    <w:rsid w:val="00124AD4"/>
    <w:rsid w:val="00141FCC"/>
    <w:rsid w:val="00144217"/>
    <w:rsid w:val="00163975"/>
    <w:rsid w:val="00185109"/>
    <w:rsid w:val="001856BF"/>
    <w:rsid w:val="001863BE"/>
    <w:rsid w:val="001966CB"/>
    <w:rsid w:val="001A6275"/>
    <w:rsid w:val="001B5750"/>
    <w:rsid w:val="001E4AB5"/>
    <w:rsid w:val="001E4CC3"/>
    <w:rsid w:val="00217E60"/>
    <w:rsid w:val="00220C6F"/>
    <w:rsid w:val="0022553E"/>
    <w:rsid w:val="00232047"/>
    <w:rsid w:val="00240BF7"/>
    <w:rsid w:val="00242F98"/>
    <w:rsid w:val="002546CC"/>
    <w:rsid w:val="0026024F"/>
    <w:rsid w:val="002856D6"/>
    <w:rsid w:val="002954B5"/>
    <w:rsid w:val="002A098F"/>
    <w:rsid w:val="002A2463"/>
    <w:rsid w:val="002A7193"/>
    <w:rsid w:val="002B0D60"/>
    <w:rsid w:val="002B7143"/>
    <w:rsid w:val="002C7E08"/>
    <w:rsid w:val="002E6ADC"/>
    <w:rsid w:val="002E7696"/>
    <w:rsid w:val="00305167"/>
    <w:rsid w:val="0030517A"/>
    <w:rsid w:val="0031600D"/>
    <w:rsid w:val="00316327"/>
    <w:rsid w:val="00345277"/>
    <w:rsid w:val="003923E2"/>
    <w:rsid w:val="00393A92"/>
    <w:rsid w:val="00396067"/>
    <w:rsid w:val="003B30DA"/>
    <w:rsid w:val="003C6BF1"/>
    <w:rsid w:val="003C7A43"/>
    <w:rsid w:val="003E3E85"/>
    <w:rsid w:val="003F5494"/>
    <w:rsid w:val="00415BCF"/>
    <w:rsid w:val="00425340"/>
    <w:rsid w:val="004311F8"/>
    <w:rsid w:val="00453E39"/>
    <w:rsid w:val="00465E00"/>
    <w:rsid w:val="0047142E"/>
    <w:rsid w:val="00476646"/>
    <w:rsid w:val="004A1B3A"/>
    <w:rsid w:val="004A6492"/>
    <w:rsid w:val="004D10CA"/>
    <w:rsid w:val="004D144B"/>
    <w:rsid w:val="004E28FA"/>
    <w:rsid w:val="004E78D5"/>
    <w:rsid w:val="004F50BD"/>
    <w:rsid w:val="00510CE1"/>
    <w:rsid w:val="005244DD"/>
    <w:rsid w:val="00535164"/>
    <w:rsid w:val="0053636E"/>
    <w:rsid w:val="00553087"/>
    <w:rsid w:val="005555B9"/>
    <w:rsid w:val="00571EDC"/>
    <w:rsid w:val="005D191B"/>
    <w:rsid w:val="006340D2"/>
    <w:rsid w:val="00643B4A"/>
    <w:rsid w:val="0065406F"/>
    <w:rsid w:val="00663C20"/>
    <w:rsid w:val="006746F4"/>
    <w:rsid w:val="00677ECF"/>
    <w:rsid w:val="006906F5"/>
    <w:rsid w:val="006A2155"/>
    <w:rsid w:val="006A6CD7"/>
    <w:rsid w:val="006B52F0"/>
    <w:rsid w:val="006D2286"/>
    <w:rsid w:val="006D3778"/>
    <w:rsid w:val="006F254E"/>
    <w:rsid w:val="006F379D"/>
    <w:rsid w:val="006F3934"/>
    <w:rsid w:val="006F4EC2"/>
    <w:rsid w:val="00700004"/>
    <w:rsid w:val="0073108A"/>
    <w:rsid w:val="00740556"/>
    <w:rsid w:val="0074549D"/>
    <w:rsid w:val="00764D54"/>
    <w:rsid w:val="007672A6"/>
    <w:rsid w:val="00772319"/>
    <w:rsid w:val="00782480"/>
    <w:rsid w:val="00790F97"/>
    <w:rsid w:val="00796A1F"/>
    <w:rsid w:val="007C6835"/>
    <w:rsid w:val="007D1345"/>
    <w:rsid w:val="007D32F2"/>
    <w:rsid w:val="007E59E1"/>
    <w:rsid w:val="007F6CB0"/>
    <w:rsid w:val="008147AA"/>
    <w:rsid w:val="0081488B"/>
    <w:rsid w:val="0082368C"/>
    <w:rsid w:val="0083425D"/>
    <w:rsid w:val="008622E6"/>
    <w:rsid w:val="008965D1"/>
    <w:rsid w:val="008C1238"/>
    <w:rsid w:val="008D56E1"/>
    <w:rsid w:val="008D7057"/>
    <w:rsid w:val="008F2724"/>
    <w:rsid w:val="008F397B"/>
    <w:rsid w:val="008F5A21"/>
    <w:rsid w:val="008F6B1F"/>
    <w:rsid w:val="00902B50"/>
    <w:rsid w:val="009068A9"/>
    <w:rsid w:val="009363A5"/>
    <w:rsid w:val="00937DB8"/>
    <w:rsid w:val="00956029"/>
    <w:rsid w:val="0097281C"/>
    <w:rsid w:val="00972827"/>
    <w:rsid w:val="009742B6"/>
    <w:rsid w:val="00975B25"/>
    <w:rsid w:val="00990EEB"/>
    <w:rsid w:val="009B058F"/>
    <w:rsid w:val="009B2C09"/>
    <w:rsid w:val="009B3611"/>
    <w:rsid w:val="009B5F9F"/>
    <w:rsid w:val="009D0362"/>
    <w:rsid w:val="009D24B4"/>
    <w:rsid w:val="009E360D"/>
    <w:rsid w:val="009E4110"/>
    <w:rsid w:val="009E4997"/>
    <w:rsid w:val="009E777B"/>
    <w:rsid w:val="009F5B3E"/>
    <w:rsid w:val="00A257C2"/>
    <w:rsid w:val="00A44FB4"/>
    <w:rsid w:val="00AA16F8"/>
    <w:rsid w:val="00AA21A2"/>
    <w:rsid w:val="00AA26FE"/>
    <w:rsid w:val="00AB24E5"/>
    <w:rsid w:val="00AE2C79"/>
    <w:rsid w:val="00AF54B4"/>
    <w:rsid w:val="00AF63F3"/>
    <w:rsid w:val="00B00675"/>
    <w:rsid w:val="00B23C9A"/>
    <w:rsid w:val="00B34F44"/>
    <w:rsid w:val="00B4562B"/>
    <w:rsid w:val="00B5366E"/>
    <w:rsid w:val="00B72CDF"/>
    <w:rsid w:val="00B86FA5"/>
    <w:rsid w:val="00B92D4E"/>
    <w:rsid w:val="00B939E9"/>
    <w:rsid w:val="00BA70FB"/>
    <w:rsid w:val="00BB5CA3"/>
    <w:rsid w:val="00BB66B9"/>
    <w:rsid w:val="00BE26DD"/>
    <w:rsid w:val="00BE3B84"/>
    <w:rsid w:val="00BE7855"/>
    <w:rsid w:val="00BF7EDD"/>
    <w:rsid w:val="00C20E6C"/>
    <w:rsid w:val="00C2155F"/>
    <w:rsid w:val="00C25A40"/>
    <w:rsid w:val="00C33D48"/>
    <w:rsid w:val="00C33E7E"/>
    <w:rsid w:val="00C441B9"/>
    <w:rsid w:val="00C512E6"/>
    <w:rsid w:val="00C63554"/>
    <w:rsid w:val="00C65E43"/>
    <w:rsid w:val="00C724DF"/>
    <w:rsid w:val="00CA09F3"/>
    <w:rsid w:val="00CA380C"/>
    <w:rsid w:val="00CD64E2"/>
    <w:rsid w:val="00CF3B56"/>
    <w:rsid w:val="00CF4FE5"/>
    <w:rsid w:val="00D06D44"/>
    <w:rsid w:val="00D11BC6"/>
    <w:rsid w:val="00D20C1C"/>
    <w:rsid w:val="00D3430C"/>
    <w:rsid w:val="00D46827"/>
    <w:rsid w:val="00D503B2"/>
    <w:rsid w:val="00D5451F"/>
    <w:rsid w:val="00D616F6"/>
    <w:rsid w:val="00D64BB0"/>
    <w:rsid w:val="00D64F1C"/>
    <w:rsid w:val="00D67A76"/>
    <w:rsid w:val="00D829B7"/>
    <w:rsid w:val="00DA0063"/>
    <w:rsid w:val="00DC1484"/>
    <w:rsid w:val="00DC5986"/>
    <w:rsid w:val="00DD1C96"/>
    <w:rsid w:val="00DF747D"/>
    <w:rsid w:val="00DF7FD6"/>
    <w:rsid w:val="00E13FA8"/>
    <w:rsid w:val="00E20940"/>
    <w:rsid w:val="00E517C5"/>
    <w:rsid w:val="00E5194E"/>
    <w:rsid w:val="00E53B95"/>
    <w:rsid w:val="00E60983"/>
    <w:rsid w:val="00E6145F"/>
    <w:rsid w:val="00E70D5C"/>
    <w:rsid w:val="00E776D8"/>
    <w:rsid w:val="00EA502F"/>
    <w:rsid w:val="00EA5339"/>
    <w:rsid w:val="00EB3F90"/>
    <w:rsid w:val="00EC10DB"/>
    <w:rsid w:val="00F11B2D"/>
    <w:rsid w:val="00F53EB1"/>
    <w:rsid w:val="00F65419"/>
    <w:rsid w:val="00F71F19"/>
    <w:rsid w:val="00F8541F"/>
    <w:rsid w:val="00F91BBC"/>
    <w:rsid w:val="00FB68DB"/>
    <w:rsid w:val="00FD70A5"/>
    <w:rsid w:val="00FF0E11"/>
    <w:rsid w:val="00FF4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7E06C"/>
  <w15:docId w15:val="{4962104C-DB92-487F-88FA-6580DE737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37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F37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F379D"/>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6F379D"/>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F379D"/>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6F379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F379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F379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F379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79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F379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F379D"/>
    <w:rPr>
      <w:rFonts w:asciiTheme="minorHAnsi" w:eastAsiaTheme="majorEastAsia" w:hAnsiTheme="minorHAnsi" w:cstheme="majorBidi"/>
      <w:color w:val="2F5496" w:themeColor="accent1" w:themeShade="BF"/>
      <w:szCs w:val="28"/>
    </w:rPr>
  </w:style>
  <w:style w:type="character" w:customStyle="1" w:styleId="Heading4Char">
    <w:name w:val="Heading 4 Char"/>
    <w:basedOn w:val="DefaultParagraphFont"/>
    <w:link w:val="Heading4"/>
    <w:uiPriority w:val="9"/>
    <w:semiHidden/>
    <w:rsid w:val="006F379D"/>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6F379D"/>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6F379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F379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F379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F379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F37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37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379D"/>
    <w:pPr>
      <w:numPr>
        <w:ilvl w:val="1"/>
      </w:numPr>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6F379D"/>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6F379D"/>
    <w:pPr>
      <w:spacing w:before="160"/>
      <w:jc w:val="center"/>
    </w:pPr>
    <w:rPr>
      <w:i/>
      <w:iCs/>
      <w:color w:val="404040" w:themeColor="text1" w:themeTint="BF"/>
    </w:rPr>
  </w:style>
  <w:style w:type="character" w:customStyle="1" w:styleId="QuoteChar">
    <w:name w:val="Quote Char"/>
    <w:basedOn w:val="DefaultParagraphFont"/>
    <w:link w:val="Quote"/>
    <w:uiPriority w:val="29"/>
    <w:rsid w:val="006F379D"/>
    <w:rPr>
      <w:i/>
      <w:iCs/>
      <w:color w:val="404040" w:themeColor="text1" w:themeTint="BF"/>
    </w:rPr>
  </w:style>
  <w:style w:type="paragraph" w:styleId="ListParagraph">
    <w:name w:val="List Paragraph"/>
    <w:basedOn w:val="Normal"/>
    <w:uiPriority w:val="34"/>
    <w:qFormat/>
    <w:rsid w:val="006F379D"/>
    <w:pPr>
      <w:ind w:left="720"/>
      <w:contextualSpacing/>
    </w:pPr>
  </w:style>
  <w:style w:type="character" w:styleId="IntenseEmphasis">
    <w:name w:val="Intense Emphasis"/>
    <w:basedOn w:val="DefaultParagraphFont"/>
    <w:uiPriority w:val="21"/>
    <w:qFormat/>
    <w:rsid w:val="006F379D"/>
    <w:rPr>
      <w:i/>
      <w:iCs/>
      <w:color w:val="2F5496" w:themeColor="accent1" w:themeShade="BF"/>
    </w:rPr>
  </w:style>
  <w:style w:type="paragraph" w:styleId="IntenseQuote">
    <w:name w:val="Intense Quote"/>
    <w:basedOn w:val="Normal"/>
    <w:next w:val="Normal"/>
    <w:link w:val="IntenseQuoteChar"/>
    <w:uiPriority w:val="30"/>
    <w:qFormat/>
    <w:rsid w:val="006F37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F379D"/>
    <w:rPr>
      <w:i/>
      <w:iCs/>
      <w:color w:val="2F5496" w:themeColor="accent1" w:themeShade="BF"/>
    </w:rPr>
  </w:style>
  <w:style w:type="character" w:styleId="IntenseReference">
    <w:name w:val="Intense Reference"/>
    <w:basedOn w:val="DefaultParagraphFont"/>
    <w:uiPriority w:val="32"/>
    <w:qFormat/>
    <w:rsid w:val="006F379D"/>
    <w:rPr>
      <w:b/>
      <w:bCs/>
      <w:smallCaps/>
      <w:color w:val="2F5496" w:themeColor="accent1" w:themeShade="BF"/>
      <w:spacing w:val="5"/>
    </w:rPr>
  </w:style>
  <w:style w:type="paragraph" w:styleId="FootnoteText">
    <w:name w:val="footnote text"/>
    <w:basedOn w:val="Normal"/>
    <w:link w:val="FootnoteTextChar"/>
    <w:uiPriority w:val="99"/>
    <w:semiHidden/>
    <w:unhideWhenUsed/>
    <w:rsid w:val="001A62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6275"/>
    <w:rPr>
      <w:sz w:val="20"/>
      <w:szCs w:val="20"/>
    </w:rPr>
  </w:style>
  <w:style w:type="character" w:styleId="FootnoteReference">
    <w:name w:val="footnote reference"/>
    <w:basedOn w:val="DefaultParagraphFont"/>
    <w:uiPriority w:val="99"/>
    <w:semiHidden/>
    <w:unhideWhenUsed/>
    <w:rsid w:val="001A6275"/>
    <w:rPr>
      <w:vertAlign w:val="superscript"/>
    </w:rPr>
  </w:style>
  <w:style w:type="character" w:styleId="Hyperlink">
    <w:name w:val="Hyperlink"/>
    <w:basedOn w:val="DefaultParagraphFont"/>
    <w:uiPriority w:val="99"/>
    <w:unhideWhenUsed/>
    <w:rsid w:val="00051BF7"/>
    <w:rPr>
      <w:color w:val="0563C1" w:themeColor="hyperlink"/>
      <w:u w:val="single"/>
    </w:rPr>
  </w:style>
  <w:style w:type="character" w:customStyle="1" w:styleId="UnresolvedMention1">
    <w:name w:val="Unresolved Mention1"/>
    <w:basedOn w:val="DefaultParagraphFont"/>
    <w:uiPriority w:val="99"/>
    <w:semiHidden/>
    <w:unhideWhenUsed/>
    <w:rsid w:val="00051BF7"/>
    <w:rPr>
      <w:color w:val="605E5C"/>
      <w:shd w:val="clear" w:color="auto" w:fill="E1DFDD"/>
    </w:rPr>
  </w:style>
  <w:style w:type="paragraph" w:styleId="Header">
    <w:name w:val="header"/>
    <w:basedOn w:val="Normal"/>
    <w:link w:val="HeaderChar"/>
    <w:uiPriority w:val="99"/>
    <w:unhideWhenUsed/>
    <w:rsid w:val="00F11B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1B2D"/>
  </w:style>
  <w:style w:type="paragraph" w:styleId="Footer">
    <w:name w:val="footer"/>
    <w:basedOn w:val="Normal"/>
    <w:link w:val="FooterChar"/>
    <w:uiPriority w:val="99"/>
    <w:unhideWhenUsed/>
    <w:rsid w:val="00F11B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1B2D"/>
  </w:style>
  <w:style w:type="paragraph" w:styleId="BalloonText">
    <w:name w:val="Balloon Text"/>
    <w:basedOn w:val="Normal"/>
    <w:link w:val="BalloonTextChar"/>
    <w:uiPriority w:val="99"/>
    <w:semiHidden/>
    <w:unhideWhenUsed/>
    <w:rsid w:val="002954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54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1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355AF-206D-40EE-95F1-5742B17C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5</Pages>
  <Words>910</Words>
  <Characters>5187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QUYEN</dc:creator>
  <cp:keywords/>
  <dc:description/>
  <cp:lastModifiedBy>ls vpubnd</cp:lastModifiedBy>
  <cp:revision>42</cp:revision>
  <cp:lastPrinted>2025-11-16T11:43:00Z</cp:lastPrinted>
  <dcterms:created xsi:type="dcterms:W3CDTF">2025-10-21T03:37:00Z</dcterms:created>
  <dcterms:modified xsi:type="dcterms:W3CDTF">2025-11-18T09:09:00Z</dcterms:modified>
</cp:coreProperties>
</file>